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 dr hab. inż A. G. Chmielewski, dr inż. M.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(4 godz tygodniowo) , cwiczeniach rachunkowych (3 godziny tygodniowo). Wymiary czasu pracy własnej 3 godziny tygodniowo w semestrze zimowym. Przygotowanie do egzaminu, przy systematycznej pracy w ciągu semestru,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Clapeyrona, wpływ dodatku gazu obojętnego na układ w stanie równowagi, równowagi przy jednoczesnym przebiegu kilku reakcji chemicznych; Gaz doskonały, prawa gazu doskonałego, doświadczenie Joulea, gazy rzeczywiste, teoremat stanów odpowiadających sobie, współczynnik Joulea Thompsona, rozprężanie gazów, prawa gazu rzeczywistego, równania wirialne, równanie van der Waalsa; Oddziaływania międzycząsteczkowe, energia całkowita układu dwu cząsteczek, równanie Lenarda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w:t>
      </w:r>
    </w:p>
    <w:p>
      <w:pPr>
        <w:keepNext w:val="1"/>
        <w:spacing w:after="10"/>
      </w:pPr>
      <w:r>
        <w:rPr>
          <w:b/>
          <w:bCs/>
        </w:rPr>
        <w:t xml:space="preserve">Metody oceny: </w:t>
      </w:r>
    </w:p>
    <w:p>
      <w:pPr>
        <w:spacing w:before="20" w:after="190"/>
      </w:pPr>
      <w:r>
        <w:rPr/>
        <w:t xml:space="preserve">Wykład: Egzamin pisemny.Zalicza 36/60 pkt. Ćwiczenia: Zaliczenie ćwiczeń wymaga zaliczenia 4 sprawdzianów pisemnych (a 10 pkt.); do zaliczenia ćwiczeń wymagane jest uzyskanie 21/40 pkt., przy zaliczeniu na co najmniej 5.0 pkt. każdego z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P.W. Atkins, Chemia fizyczna, PWN, Warszawa, 2001. A.G. Whittaker, A.R. Mount, M.R. Heal, Chemia fizyczna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Przedmiot wymaga systematycznej pracy studenta  w trakcie zajęć, zrówno na uczelni, jak  i w domu. Jest podstawa wielu póżniejszych przedmiotów specjalistycznych.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T1A_W03, T1A_W03, T1A_W04, T1A_W03,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Wiedza co do wykorzystania podstawowych praw chemii fizycznej w przedmiotach specjalistycznych.</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2026-05-02T16:02:33+02:00</dcterms:created>
  <dcterms:modified xsi:type="dcterms:W3CDTF">2026-05-02T16:02:33+02:00</dcterms:modified>
</cp:coreProperties>
</file>

<file path=docProps/custom.xml><?xml version="1.0" encoding="utf-8"?>
<Properties xmlns="http://schemas.openxmlformats.org/officeDocument/2006/custom-properties" xmlns:vt="http://schemas.openxmlformats.org/officeDocument/2006/docPropsVTypes"/>
</file>