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
b) bieżące przygotowywanie się do zajęć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NS532_W1: </w:t>
      </w:r>
    </w:p>
    <w:p>
      <w:pPr/>
      <w:r>
        <w:rPr/>
        <w:t xml:space="preserve">ma wiedzę dotyczącą materiałów stosowanych w energetyce oraz zasad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NS532_U2: </w:t>
      </w:r>
    </w:p>
    <w:p>
      <w:pPr/>
      <w:r>
        <w:rPr/>
        <w:t xml:space="preserve">potrafi brać udział w procesie montażu urządzeń lub bloków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NS532_U3: </w:t>
      </w:r>
    </w:p>
    <w:p>
      <w:pPr/>
      <w:r>
        <w:rPr/>
        <w:t xml:space="preserve">umie korzystać ze specjalistycznej dokumentacji w procesie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NS532_K1: </w:t>
      </w:r>
    </w:p>
    <w:p>
      <w:pPr/>
      <w:r>
        <w:rPr/>
        <w:t xml:space="preserve">ma umiejętności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NS532_K2: </w:t>
      </w:r>
    </w:p>
    <w:p>
      <w:pPr/>
      <w:r>
        <w:rPr/>
        <w:t xml:space="preserve">potrafi ocenić kluczowe działania związane z procesem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2026-08-18T19:03:00+02:00</dcterms:created>
  <dcterms:modified xsi:type="dcterms:W3CDTF">2026-08-18T19:03:00+02:00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