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NS729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udział w ćwiczeniach laboratoryjnych - 15 godz.
przygotowanie i prezentacja wybranego zagadnienia (praca w grupie), przygotowywanie się do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28, Dyrektywa o efektywności energetycznej (EED)	30, Dyrektywa o ekoprojekcie	33, Dyrektywa o etykietowaniu	34, Dyrektywy o wspólnotowym systemie handlu uprawnieniami do emisji gazów cieplarnianych	34.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Horizon2020.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NS729_U2: </w:t>
      </w:r>
    </w:p>
    <w:p>
      <w:pPr/>
      <w:r>
        <w:rPr/>
        <w:t xml:space="preserve">Umie wykonać audyt energetyczny urządzenia i maszyny.														</w:t>
      </w:r>
    </w:p>
    <w:p>
      <w:pPr>
        <w:spacing w:before="60"/>
      </w:pPr>
      <w:r>
        <w:rPr/>
        <w:t xml:space="preserve">Weryfikacja: </w:t>
      </w:r>
    </w:p>
    <w:p>
      <w:pPr>
        <w:spacing w:before="20" w:after="190"/>
      </w:pPr>
      <w:r>
        <w:rPr/>
        <w:t xml:space="preserve">Wkonanie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2026-04-11T00:05:36+02:00</dcterms:created>
  <dcterms:modified xsi:type="dcterms:W3CDTF">2026-04-11T00:05:36+02:00</dcterms:modified>
</cp:coreProperties>
</file>

<file path=docProps/custom.xml><?xml version="1.0" encoding="utf-8"?>
<Properties xmlns="http://schemas.openxmlformats.org/officeDocument/2006/custom-properties" xmlns:vt="http://schemas.openxmlformats.org/officeDocument/2006/docPropsVTypes"/>
</file>