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NS729</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udział w ćwiczeniach laboratoryjnych - 15 godz.
przygotowanie i prezentacja wybranego zagadnienia (praca w grupie), przygotowywanie się do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28, Dyrektywa o efektywności energetycznej (EED)	30, Dyrektywa o ekoprojekcie	33, Dyrektywa o etykietowaniu	34, Dyrektywy o wspólnotowym systemie handlu uprawnieniami do emisji gazów cieplarnianych	34.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Horizon2020.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 E1_U24</w:t>
      </w:r>
    </w:p>
    <w:p>
      <w:pPr>
        <w:spacing w:before="20" w:after="190"/>
      </w:pPr>
      <w:r>
        <w:rPr>
          <w:b/>
          <w:bCs/>
        </w:rPr>
        <w:t xml:space="preserve">Powiązane efekty obszarowe: </w:t>
      </w:r>
      <w:r>
        <w:rPr/>
        <w:t xml:space="preserve">T1A_U01, T1A_U12, T1A_U13, T1A_U09, T1A_U15</w:t>
      </w:r>
    </w:p>
    <w:p>
      <w:pPr>
        <w:keepNext w:val="1"/>
        <w:spacing w:after="10"/>
      </w:pPr>
      <w:r>
        <w:rPr>
          <w:b/>
          <w:bCs/>
        </w:rPr>
        <w:t xml:space="preserve">Efekt NS729_U2: </w:t>
      </w:r>
    </w:p>
    <w:p>
      <w:pPr/>
      <w:r>
        <w:rPr/>
        <w:t xml:space="preserve">Umie wykonać audyt energetyczny urządzenia i maszyny.														</w:t>
      </w:r>
    </w:p>
    <w:p>
      <w:pPr>
        <w:spacing w:before="60"/>
      </w:pPr>
      <w:r>
        <w:rPr/>
        <w:t xml:space="preserve">Weryfikacja: </w:t>
      </w:r>
    </w:p>
    <w:p>
      <w:pPr>
        <w:spacing w:before="20" w:after="190"/>
      </w:pPr>
      <w:r>
        <w:rPr/>
        <w:t xml:space="preserve">Wkonanie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2026-07-28T17:32:50+02:00</dcterms:created>
  <dcterms:modified xsi:type="dcterms:W3CDTF">2026-07-28T17:32:50+02:00</dcterms:modified>
</cp:coreProperties>
</file>

<file path=docProps/custom.xml><?xml version="1.0" encoding="utf-8"?>
<Properties xmlns="http://schemas.openxmlformats.org/officeDocument/2006/custom-properties" xmlns:vt="http://schemas.openxmlformats.org/officeDocument/2006/docPropsVTypes"/>
</file>