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							Zna zasady wymiarowania pomp ciepła i dobór źródeł ciepła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								Posiada wiedzę tworzenia koncepcji technicznej systemów grzewczych mono i biwalentnych z pompą ciepła współpracującą z innymi odnawialnymi i konwencjonalnymi urządzeniami/ źródłami ciepła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Zna zasady wyznaczania efektywności energetycznej i redukcji emisji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	Posiada umiejętność stworzenia koncepcji technicznej systemów grzewczych z pompą ciepła skojarzoną z analizą ekonomiczną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Potrafi wymiarować pompy ciepła i dokonywać wyboru źródeł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	Potrafi przeprowadzić analizę techniczną i ekonomiczną możliwości współpracy systemów grzewczych mono i biwalentnych z pompą ciepła przy wykorzystaniu innych odnawialnychi i konwencjonalnych urządzeń/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NS540_K_1: </w:t>
      </w:r>
    </w:p>
    <w:p>
      <w:pPr/>
      <w:r>
        <w:rPr/>
        <w:t xml:space="preserve">	Potrafi prezentować na forum wyniki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2026-03-20T07:24:39+01:00</dcterms:created>
  <dcterms:modified xsi:type="dcterms:W3CDTF">2026-03-20T07:24:39+01:00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