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
b) konsultacje - 1 godz.
2) Praca własna -20 godz., w tym:
a) bieżące przygotowywanie się do wykładów - studiowanie materiałów zaleconych przez prowadzącego - 10 godz; 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
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
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
materiały na narzędzia. Wybrane przykłady wykonawcze. Chropowatość powierzchni po obróbce - możliwe wymagania, metody badania. Uboczne skutki obróbki skrawaniem (utwardzanie powierzchni). Przykłady obróbki skrawaniem
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NS736_W1: </w:t>
      </w:r>
    </w:p>
    <w:p>
      <w:pPr/>
      <w:r>
        <w:rPr/>
        <w:t xml:space="preserve">Student posiada wiedzę o podstawowych metodach wytwarzania elementów i części urządzeń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NS736_U1: </w:t>
      </w:r>
    </w:p>
    <w:p>
      <w:pPr/>
      <w:r>
        <w:rPr/>
        <w:t xml:space="preserve">Student umie przygotować plan wytwarzania danej części podstawowych urządzeń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2026-10-03T07:24:57+02:00</dcterms:created>
  <dcterms:modified xsi:type="dcterms:W3CDTF">2026-10-03T07:24:57+02:00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