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
a) spotkania i konsultacje - 149 godz. 
b) zaliczenie przedmiotu - 1 godz. 
2. Liczba godzin pracy własnej: 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 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NW136_W1: </w:t>
      </w:r>
    </w:p>
    <w:p>
      <w:pPr/>
      <w:r>
        <w:rPr/>
        <w:t xml:space="preserve">Posiada rozległą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E1_W18, E1_W20, E1_W24, E1_W25, E1_W26,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T1A_W05, T1A_W05, T1A_W05,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NW136_U1: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</w:t>
      </w:r>
    </w:p>
    <w:p>
      <w:pPr>
        <w:keepNext w:val="1"/>
        <w:spacing w:after="10"/>
      </w:pPr>
      <w:r>
        <w:rPr>
          <w:b/>
          <w:bCs/>
        </w:rPr>
        <w:t xml:space="preserve">Efekt NW136_U2: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NW136_U3: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NW136_U4: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NW136_U5: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NW136_K2: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NW136_K3: </w:t>
      </w:r>
    </w:p>
    <w:p>
      <w:pPr/>
      <w:r>
        <w:rPr/>
        <w:t xml:space="preserve">Prawidłowo identyfikuje i rozstrzyga dylematy związane z wykonywaniem zawodu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2026-10-02T02:26:56+02:00</dcterms:created>
  <dcterms:modified xsi:type="dcterms:W3CDTF">2026-10-02T02:26:56+02:00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