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ML.NW116_W02: </w:t>
      </w:r>
    </w:p>
    <w:p>
      <w:pPr/>
      <w:r>
        <w:rPr/>
        <w:t xml:space="preserve">							Rozumie ograniczenia sprawności konwersji energii w maszynach cieplnych wynikające z II zasady termodynamiki. Zna pojęcie entropii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ML.NW116_W03: </w:t>
      </w:r>
    </w:p>
    <w:p>
      <w:pPr/>
      <w:r>
        <w:rPr/>
        <w:t xml:space="preserve">							Zna modele teoretyczne (przemiany termodynamiczne) gazowych silników cieplnych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ML.NW116_W05: </w:t>
      </w:r>
    </w:p>
    <w:p>
      <w:pPr/>
      <w:r>
        <w:rPr/>
        <w:t xml:space="preserve">							Ma podstawową wiedzę dotyczącą zasad działania urządzeń chłodniczych (w ujęciu termodynamicznym)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ML.NW116_U01: </w:t>
      </w:r>
    </w:p>
    <w:p>
      <w:pPr/>
      <w:r>
        <w:rPr/>
        <w:t xml:space="preserve">							Potrafi wykonać obliczenia bilansowe prostego układu/systemu energetycznego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ML.NW116_U02: </w:t>
      </w:r>
    </w:p>
    <w:p>
      <w:pPr/>
      <w:r>
        <w:rPr/>
        <w:t xml:space="preserve">							Potrafi ocenić sprawność konwersji energii w urządzeniach cieplnych na gruncie II zasady termodynamiki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ML.NW116_U03: </w:t>
      </w:r>
    </w:p>
    <w:p>
      <w:pPr/>
      <w:r>
        <w:rPr/>
        <w:t xml:space="preserve">							Potrafi wyznaczyć ciepło i pracę przemian odwracalnych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ML.NW116_U04: </w:t>
      </w:r>
    </w:p>
    <w:p>
      <w:pPr/>
      <w:r>
        <w:rPr/>
        <w:t xml:space="preserve">							Potrafi wyznaczyć teoretyczną sprawność obiegu gazowego składającego się z przemian odwracalnych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ML.NW116_U05: </w:t>
      </w:r>
    </w:p>
    <w:p>
      <w:pPr/>
      <w:r>
        <w:rPr/>
        <w:t xml:space="preserve">							Potrafi wyznaczyć parametry termofizyczne pary wodnej oraz pracę i ciepło przemian termodynamicznych pary wodnej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2026-08-18T21:56:55+02:00</dcterms:created>
  <dcterms:modified xsi:type="dcterms:W3CDTF">2026-08-18T21:56:55+02:00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