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30 godz.,
b)	konsultacje – 5 godz.
2.	Praca własna studenta – 35 godzin, w tym:
a)	 15 godz . – przygotowanie się studenta do kolokwiów w trakcie semestru,
b)	25 godz . – przygotowanie się studenta do wykładów,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a) wykład – 30 godz., 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red., "Tom 5 – Biomechanika i Inżynieria Rehabilitacyjna", Akademicka Oficyna Wyd. „Exit”, Warszawa, 2004.
Będziński R., „Biomechanika inżynierska - zagadnienia wybrane”, Oficyna Wydawnicza Politechniki Wrocławskiej, Wrocław 1997.
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NS705_W1: </w:t>
      </w:r>
    </w:p>
    <w:p>
      <w:pPr/>
      <w:r>
        <w:rPr/>
        <w:t xml:space="preserve">Potrafi tworzyć i analizować proste modele narządów lub zjawisk charakterystycznych dla biorobotyki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NS705_W2: </w:t>
      </w:r>
    </w:p>
    <w:p>
      <w:pPr/>
      <w:r>
        <w:rPr/>
        <w:t xml:space="preserve">Zna najbardziej istotne zjawiska biochemiczne zachodzące w tkankach ciała. Zna problemy inżynierskie z zakresu ergonomii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NS705_U1: </w:t>
      </w:r>
    </w:p>
    <w:p>
      <w:pPr/>
      <w:r>
        <w:rPr/>
        <w:t xml:space="preserve">potrafi udoskonalać modele biomechaniczne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NS685_U2: </w:t>
      </w:r>
    </w:p>
    <w:p>
      <w:pPr/>
      <w:r>
        <w:rPr/>
        <w:t xml:space="preserve">potrafi integrować wiedzę z różnych dziedzin: mechaniki, medycyny, metod numerycznych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NS705_U3: </w:t>
      </w:r>
    </w:p>
    <w:p>
      <w:pPr/>
      <w:r>
        <w:rPr/>
        <w:t xml:space="preserve">potrafi zidentyfikować zagrożenia na stanowisku pracy oraz zaproponować odpowiednie środki zwiększające poziom bezpieczeństwa 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2026-09-30T20:46:37+02:00</dcterms:created>
  <dcterms:modified xsi:type="dcterms:W3CDTF">2026-09-30T20:46:37+02:00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