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Dr inż. Grzegorz Orzechowski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NK385</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tym:&lt;br /&gt;
a)	wykład – 30 godz.,&lt;br /&gt;
b)	konsultacje – 5 godz.&lt;br /&gt;
2.	Praca własna studenta – 40 godzin, w tym:&lt;br /&gt;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godz.,&lt;br /&gt;
b)	przygotowywanie się do testu zaliczeniowego – 15 godz.&lt;br /&gt;&lt;br /&gt;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- 35 godzin kontaktowych, w tym:&lt;br /&gt;
a)	wykład – 30 godz.,&lt;br /&gt;
b)	konsultacje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tym:&lt;br /&gt;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analizy matematycznej w zakresie wykładanym na wcześniejszych latach studiów.&lt;br /&gt;
2. Posiadanie podstawowej wiedzy i umiejętności w zakresie metod numerycznych i języków programowania.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1. Zapoznanie studentów z istotnymi cechami sztucznych sieci neuronowych, z podstawami algorytmów wykorzystywanych w dziedzinie sztucznych sieci neuronowych oraz z przykładami zastosowań praktycznych ze wskazaniem zalet i ograniczeń. &lt;br /&gt;
2. Przygotowanie do samodzielnego formułowania i rozwiązywania zagadnień z wykorzystaniem sieci neuronowych.</w:t>
      </w:r>
    </w:p>
    <w:p>
      <w:pPr>
        <w:keepNext w:val="1"/>
        <w:spacing w:after="10"/>
      </w:pPr>
      <w:r>
        <w:rPr>
          <w:b/>
          <w:bCs/>
        </w:rPr>
        <w:t xml:space="preserve">Treści kształcenia: </w:t>
      </w:r>
    </w:p>
    <w:p>
      <w:pPr>
        <w:spacing w:before="20" w:after="190"/>
      </w:pPr>
      <w:r>
        <w:rPr/>
        <w:t xml:space="preserve">&lt;b&gt;Wykłady&lt;/b&gt;&lt;br /&gt;
• Wprowadzenie — podstawowe idee, historia, podstawowe zastosowania.&lt;br /&gt;
• Opis neuronu, podstawowe charakterystyki. Struktury sieci neuronowych – sieci statyczne i dynamiczne.&lt;br /&gt;
• Zastosowanie sieci neuronowych w modelowaniu statycznym oraz dynamicznym. Systemy typu black-box oraz gray-box. Zastosowanie sieci do kategoryzacji oraz wizualizacji.&lt;br /&gt;
• Zasady i algorytmy procesu uczenia sieci.&lt;br /&gt;
• Zasady doboru danych wejściowych, normalizacja danych, dobór modelu sieci.&lt;br /&gt;
• Przykłady zastosowań — agregacja (klasteryzacja) informacji, analiza (rozpoznawanie) obrazów, układy decyzyjne, układy sterowania.</w:t>
      </w:r>
    </w:p>
    <w:p>
      <w:pPr>
        <w:keepNext w:val="1"/>
        <w:spacing w:after="10"/>
      </w:pPr>
      <w:r>
        <w:rPr>
          <w:b/>
          <w:bCs/>
        </w:rPr>
        <w:t xml:space="preserve">Metody oceny: </w:t>
      </w:r>
    </w:p>
    <w:p>
      <w:pPr>
        <w:spacing w:before="20" w:after="190"/>
      </w:pPr>
      <w:r>
        <w:rPr/>
        <w:t xml:space="preserve">Ocenie podlega praca domowa (30% oceny końcowej) oraz test zaliczeniowy (70% oceny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T. Gąciarz, B. Borowik i B. Leper, Odkrywanie właściwości sieci neuronowych przy użyciu programów w języku C#, Polska Akademia Umiejętności, 2007.&lt;br /&gt;
2. G. Dreyfus, Neural Networks: Methodology and Applications, Springer, 2005.&lt;br /&gt;
3. C. M. Bishop, Neural Networks for Pattern Recognition, Oxford University Press, 1995.&lt;br /&gt;
4. R. A. Kosinski, Sztuczne sieci neuronowe: dynamika nieliniowa i chaos, WNT, 2009.&lt;br /&gt;
2. M. Nørgaard, O. Ravn, N.K. Poulsen i L.K. Hansen, Neural Networks for Modelling and Control of Dynamic Systems, Springer, 2003.</w:t>
      </w:r>
    </w:p>
    <w:p>
      <w:pPr>
        <w:keepNext w:val="1"/>
        <w:spacing w:after="10"/>
      </w:pPr>
      <w:r>
        <w:rPr>
          <w:b/>
          <w:bCs/>
        </w:rPr>
        <w:t xml:space="preserve">Witryna www przedmiotu: </w:t>
      </w:r>
    </w:p>
    <w:p>
      <w:pPr>
        <w:spacing w:before="20" w:after="190"/>
      </w:pPr>
      <w:r>
        <w:rPr/>
        <w:t xml:space="preserve">http://ztmir.meil.pw.edu.pl/index.php?/pol/content/view/full/350</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keepNext w:val="1"/>
        <w:spacing w:after="10"/>
      </w:pPr>
      <w:r>
        <w:rPr>
          <w:b/>
          <w:bCs/>
        </w:rPr>
        <w:t xml:space="preserve">Efekt 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E2_W01, E2_W03</w:t>
      </w:r>
    </w:p>
    <w:p>
      <w:pPr>
        <w:spacing w:before="20" w:after="190"/>
      </w:pPr>
      <w:r>
        <w:rPr>
          <w:b/>
          <w:bCs/>
        </w:rPr>
        <w:t xml:space="preserve">Powiązane efekty obszarowe: </w:t>
      </w:r>
      <w:r>
        <w:rPr/>
        <w:t xml:space="preserve">T2A_W01, T2A_W01</w:t>
      </w:r>
    </w:p>
    <w:p>
      <w:pPr>
        <w:pStyle w:val="Heading3"/>
      </w:pPr>
      <w:bookmarkStart w:id="3" w:name="_Toc3"/>
      <w:r>
        <w:t>Profil ogólnoakademicki - umiejętności</w:t>
      </w:r>
      <w:bookmarkEnd w:id="3"/>
    </w:p>
    <w:p>
      <w:pPr>
        <w:keepNext w:val="1"/>
        <w:spacing w:after="10"/>
      </w:pPr>
      <w:r>
        <w:rPr>
          <w:b/>
          <w:bCs/>
        </w:rPr>
        <w:t xml:space="preserve">Efekt 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 E2_U21</w:t>
      </w:r>
    </w:p>
    <w:p>
      <w:pPr>
        <w:spacing w:before="20" w:after="190"/>
      </w:pPr>
      <w:r>
        <w:rPr>
          <w:b/>
          <w:bCs/>
        </w:rPr>
        <w:t xml:space="preserve">Powiązane efekty obszarowe: </w:t>
      </w:r>
      <w:r>
        <w:rPr/>
        <w:t xml:space="preserve">T2A_U09, T2A_U17</w:t>
      </w:r>
    </w:p>
    <w:p>
      <w:pPr>
        <w:keepNext w:val="1"/>
        <w:spacing w:after="10"/>
      </w:pPr>
      <w:r>
        <w:rPr>
          <w:b/>
          <w:bCs/>
        </w:rPr>
        <w:t xml:space="preserve">Efekt 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 E2_U21</w:t>
      </w:r>
    </w:p>
    <w:p>
      <w:pPr>
        <w:spacing w:before="20" w:after="190"/>
      </w:pPr>
      <w:r>
        <w:rPr>
          <w:b/>
          <w:bCs/>
        </w:rPr>
        <w:t xml:space="preserve">Powiązane efekty obszarowe: </w:t>
      </w:r>
      <w:r>
        <w:rPr/>
        <w:t xml:space="preserve">T2A_U09, T2A_U17</w:t>
      </w:r>
    </w:p>
    <w:p>
      <w:pPr>
        <w:keepNext w:val="1"/>
        <w:spacing w:after="10"/>
      </w:pPr>
      <w:r>
        <w:rPr>
          <w:b/>
          <w:bCs/>
        </w:rPr>
        <w:t xml:space="preserve">Efekt 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E2_U09, E2_U21, E2_U24</w:t>
      </w:r>
    </w:p>
    <w:p>
      <w:pPr>
        <w:spacing w:before="20" w:after="190"/>
      </w:pPr>
      <w:r>
        <w:rPr>
          <w:b/>
          <w:bCs/>
        </w:rPr>
        <w:t xml:space="preserve">Powiązane efekty obszarowe: </w:t>
      </w:r>
      <w:r>
        <w:rPr/>
        <w:t xml:space="preserve">T2A_U09, T2A_U17, T2A_U18, T2A_U19</w:t>
      </w:r>
    </w:p>
    <w:p>
      <w:pPr>
        <w:keepNext w:val="1"/>
        <w:spacing w:after="10"/>
      </w:pPr>
      <w:r>
        <w:rPr>
          <w:b/>
          <w:bCs/>
        </w:rPr>
        <w:t xml:space="preserve">Efekt NK385_U4: </w:t>
      </w:r>
    </w:p>
    <w:p>
      <w:pPr/>
      <w:r>
        <w:rPr/>
        <w:t xml:space="preserve">Posiada umiejętność wyszukiwania informacji niezbędnych do zaprojektowania właściwej dla danego zadania struktury.</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E2_U01</w:t>
      </w:r>
    </w:p>
    <w:p>
      <w:pPr>
        <w:spacing w:before="20" w:after="190"/>
      </w:pPr>
      <w:r>
        <w:rPr>
          <w:b/>
          <w:bCs/>
        </w:rPr>
        <w:t xml:space="preserve">Powiązane efekty obszarowe: </w:t>
      </w:r>
      <w:r>
        <w:rPr/>
        <w:t xml:space="preserve">T2A_U01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2025-04-12T02:02:02+02:00</dcterms:created>
  <dcterms:modified xsi:type="dcterms:W3CDTF">2025-04-12T02:02:02+02:00</dcterms:modified>
</cp:coreProperties>
</file>

<file path=docProps/custom.xml><?xml version="1.0" encoding="utf-8"?>
<Properties xmlns="http://schemas.openxmlformats.org/officeDocument/2006/custom-properties" xmlns:vt="http://schemas.openxmlformats.org/officeDocument/2006/docPropsVTypes"/>
</file>