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58:
Godziny kontaktowe z nauczycielem (zajęcia)	30
Godziny kontaktowe z nauczycielem (konsultacje)	2
Przygotowanie do zajęć	2
Prace domowe	12
Przygotowanie do sprawdzianów	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ML.NS130A_W02: </w:t>
      </w:r>
    </w:p>
    <w:p>
      <w:pPr/>
      <w:r>
        <w:rPr/>
        <w:t xml:space="preserve">														Student ma podstawową wiedzę na temat różnych form prowadzenia działalności gospodarczej oraz umów gospodarczych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ML.NS130A_W03: </w:t>
      </w:r>
    </w:p>
    <w:p>
      <w:pPr/>
      <w:r>
        <w:rPr/>
        <w:t xml:space="preserve">							Student zna i rozumie podstawowe pojęcia i zasady z zakresu ochrony własności przemysłowej i prawa autorskiego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2026-10-01T01:48:14+02:00</dcterms:created>
  <dcterms:modified xsi:type="dcterms:W3CDTF">2026-10-01T01:48:14+02:00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