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w:t>
      </w:r>
    </w:p>
    <w:p>
      <w:pPr>
        <w:keepNext w:val="1"/>
        <w:spacing w:after="10"/>
      </w:pPr>
      <w:r>
        <w:rPr>
          <w:b/>
          <w:bCs/>
        </w:rPr>
        <w:t xml:space="preserve">Koordynator przedmiotu: </w:t>
      </w:r>
    </w:p>
    <w:p>
      <w:pPr>
        <w:spacing w:before="20" w:after="190"/>
      </w:pPr>
      <w:r>
        <w:rPr/>
        <w:t xml:space="preserve">prof. /dr hab./ inż./ Barbara Pacewska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- 30h, przygotowanie do egzaminu - 45h; Razem - 75h; Laboratoria: liczba godzin według planu studiów - 75, przygotowanie do zajęć - 15, zapoznanie ze wskazaną literaturą - 15, napisanie sprawozadania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- 75; Razem - 105h = 4,2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Laboratoria 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właściwości samych pierwiastków chemicznych bloków sp i spd oraz ich związków.
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(W1-W15) Właściwości wybranych pierwiastków głównych i ich związków chemicznych ze szczególnym uwzględnieniem połączeń tlenowych. Właściwości chemiczne wybranych pierwiastków dodatkowych i ich związków chemicznych ze szczególnym uwzględnieniem połączeń tlenowych.  
(L1)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Na ocenę końcową składa się ocena z egzaminu pisemnego  oraz ocena z ćwiczeń laboratoryjnych. 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egzamin pisemny (W1-W15), 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Posiada wiedzę w zakresie właściwości fizykochemicznych podstawowych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w zakresie niektórych zastosowań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typowe metody otrzymywania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U14_01: </w:t>
      </w:r>
    </w:p>
    <w:p>
      <w:pPr/>
      <w:r>
        <w:rPr/>
        <w:t xml:space="preserve">Potrafi podać właściwości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2026-10-21T18:34:04+02:00</dcterms:created>
  <dcterms:modified xsi:type="dcterms:W3CDTF">2026-10-21T18:34:04+02:00</dcterms:modified>
</cp:coreProperties>
</file>

<file path=docProps/custom.xml><?xml version="1.0" encoding="utf-8"?>
<Properties xmlns="http://schemas.openxmlformats.org/officeDocument/2006/custom-properties" xmlns:vt="http://schemas.openxmlformats.org/officeDocument/2006/docPropsVTypes"/>
</file>