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Komputerowa analiza przepływów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Janusz Piechna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kontaktowych: 45, w tym: a) wykład – 9 – godz. b) laboratorium – 18 –godz. c) konsultacje – 18 godz. Praca własna studenta – 55 godzin, w tym: a) 25 godz. – przygotowywanie się do laboratoriów i wykładów, b) 30 godz. – opracowanie sprawozdania z laboratorium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ECTS, Liczba godzin kontaktowych: 45, w tym: a) wykład – 9 – godz. b) laboratorium – 18 –godz. c) konsultacje – 18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 - 50 godzin pracy studenta, w tym: a) udział w ćwiczeniach laboratoryjnych - 18 godzin; b) przygotowywanie się do laboratorium i wykonanie sprawozdania - 32 godzin.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na temat Równań Różniczkowych Cząstkowych, znajomość metod numerycznych, wiedza na temat Mechaniki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 osób wykład, 12-osobowe grupy laboratoryjne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komputerowej analizy przepływów z wykorzystaniem komercyjnego oprogramowania, poznanie sposobów budowy modelu fizycznego, uproszczeń, ograniczeń i wymagań.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Podstawowy dyskretyzacji równań mechaniki płynów.  Typy warunków brzegowych. Modelowanie turbulencji. Analiza poprawności wyników
numerycznych. Wykorzystanie pakietu komercyjnego: Generacja siatek, Modelowanie przepływów w kanałach, Opływy
powierzchni nośnych (skrzydło samolotu), Przepływy z konwekcją (wentylacja), Przepływy nieustalone (silniki spalinowe),
Przepływy z powierzchnią swobodną (opływ kadłuba jachtu), Opływy brył (pojazdów).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metoda punktowa: 50% laboratorium, 50% 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Ferziger, Perić, Computational Methods for Fluid Dynamics, Springer
2. Versteeg, Malalasekera, An Introduction to Computational Fluid Dynamics, Pearson, Prentice Hall,
3. Fluent 6.3 Help
Dodatkowe literatura:
- Materiały na stronie http://www.desktopaero.com/appliedaero/preface/welcome.html, http://www.cfd-online.com/Links/onlinedocs.html
- Tu J., Yeoh G.H., Liu C., Computational Fluid Dynamics- A Practical Approach, BH
- Materiały dostarczone przez wykładowcę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ZNK323_W1: </w:t>
      </w:r>
    </w:p>
    <w:p>
      <w:pPr/>
      <w:r>
        <w:rPr/>
        <w:t xml:space="preserve">																					Zna podstawowe metody analizy schematów różnicowych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ZNK323_W2: </w:t>
      </w:r>
    </w:p>
    <w:p>
      <w:pPr/>
      <w:r>
        <w:rPr/>
        <w:t xml:space="preserve">														Zna zaawansowane metody rozwiązywania zadań fizyki matematycznej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ZNK323_U1: </w:t>
      </w:r>
    </w:p>
    <w:p>
      <w:pPr/>
      <w:r>
        <w:rPr/>
        <w:t xml:space="preserve">							potrafi przeprowadzić analizę numeryczną dla zaganień fizyki matematycznej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MiBM2_U09, MiBM2_U12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</w:t>
      </w:r>
    </w:p>
    <w:p>
      <w:pPr>
        <w:keepNext w:val="1"/>
        <w:spacing w:after="10"/>
      </w:pPr>
      <w:r>
        <w:rPr>
          <w:b/>
          <w:bCs/>
        </w:rPr>
        <w:t xml:space="preserve">Efekt ZNK323_U2: </w:t>
      </w:r>
    </w:p>
    <w:p>
      <w:pPr/>
      <w:r>
        <w:rPr/>
        <w:t xml:space="preserve">							potrafi przygotować siatkę obliczeniową dla złożonego zagadnienia technicznego o charakterze przepływowym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 i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MiBM2_U09, MiBM2_U12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</w:t>
      </w:r>
    </w:p>
    <w:p>
      <w:pPr>
        <w:keepNext w:val="1"/>
        <w:spacing w:after="10"/>
      </w:pPr>
      <w:r>
        <w:rPr>
          <w:b/>
          <w:bCs/>
        </w:rPr>
        <w:t xml:space="preserve">Efekt ZNK323_U3: </w:t>
      </w:r>
    </w:p>
    <w:p>
      <w:pPr/>
      <w:r>
        <w:rPr/>
        <w:t xml:space="preserve">							potrafi wykonać symulacje dla złożonego zagadnienia technicznego o charakterze przepływowym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 i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MiBM2_U09, MiBM2_U10, MiBM2_U12, MiBM2_U21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T2A_U09, T2A_U08, T2A_U09,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Potrafi zidentyfikować i wyeliminować zagrożenia wynikające z błędnie przeprowadzonych symulacji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 i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MiBM_K04, MiBM_K05, MiBM2_K06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T2A_K04, T2A_K05,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2025-04-12T05:54:34+02:00</dcterms:created>
  <dcterms:modified xsi:type="dcterms:W3CDTF">2025-04-12T05:54:34+02:00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