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Franciszek Dul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ZNZ336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I, Mechanika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ruchu kulistego i ogólnego, ruchu układów o zmiennej masie i zderzeń nieniszczących. Zapoznanie słuchaczy z zastosowaniami przekazanej wiedzy. Nabycie umiejętności rozwiązywania zadań z kinematyki i dynamiki ruchu kulistego.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 ruchu kulistego. Dynamika ruchu kulistego bryły sztywnej. Dynamika ruchu ogólnego bryły sztywnej Uproszczona teoria żyroskopu. Zjawiska żyroskopowe. Zastosowania. Ruch układów o zmiennej masie. Ruch rakiet. Zderzenia nieniszczące.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egzamin, test pisemny lub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Leyko, J. , Mechanika Ogólna t.1 i 2. PWN 2004.
2. Osiński, Z. , Mechanika Ogólna. PWN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stanowi dokończenie kursu mechaniki punktu materialnego i bryły sztywnej.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ma podstawową wiedzę na temat kinematyki i dynamiki ruchu kulistego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test pisemny lub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umie rozwiązywać zadania z kinematyki ruchu kulistego.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T2A_K03: </w:t>
      </w:r>
    </w:p>
    <w:p>
      <w:pPr/>
      <w:r>
        <w:rPr/>
        <w:t xml:space="preserve">Student który zaliczył przedmiot będzie umiał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pracy własnej w trakcie zaliczania przedmiotu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2026-10-21T02:17:32+02:00</dcterms:created>
  <dcterms:modified xsi:type="dcterms:W3CDTF">2026-10-21T02:17:32+02:00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