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							Zna podstawowe działy
inżyneirii mechanicznej i wie jak
powiązać fakty z różnych jej
obszarów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							Potrafi integrować posiadaną wiedzę i umiejętności także pozainżynierskie projektując złożone urządzenie techniczne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NK479_K1: </w:t>
      </w:r>
    </w:p>
    <w:p>
      <w:pPr/>
      <w:r>
        <w:rPr/>
        <w:t xml:space="preserve">														Umiejętność pracy grupowej i
gotowość dostrzegania
pozatechnicznych aspektów
projektu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2026-07-08T13:51:02+02:00</dcterms:created>
  <dcterms:modified xsi:type="dcterms:W3CDTF">2026-07-08T13:51:02+02:00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