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–godz.
b)	konsultacje – 25 godz.
Praca własna studenta – 100 godzin, w tym:
a)	40 godz. – przygotowywanie się do zajęć projektowych,
b)	60 godz. – przygotowanie wkładu do projektu grupowego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–godz.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NK479_W1: </w:t>
      </w:r>
    </w:p>
    <w:p>
      <w:pPr/>
      <w:r>
        <w:rPr/>
        <w:t xml:space="preserve">														Zna podstawowe działy
inżyneirii mechanicznej i wie jak
powiązać fakty z różnych jej
obszarów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MiBM2_W03, MiBM2_W04, MiBM2_W06, MiBM2_W07, MiBM2_W08, MiBM2_W09,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T2A_W03, T2A_W07, T2A_W02, T2A_W03, T2A_W06, T2A_W07, T2A_W04, T2A_W05, T2A_W06, T2A_W07, T2A_W04, T2A_W05, T2A_W07,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NK479_U1: </w:t>
      </w:r>
    </w:p>
    <w:p>
      <w:pPr/>
      <w:r>
        <w:rPr/>
        <w:t xml:space="preserve">														Potrafi integrować posiadaną wiedzę i umiejętności także pozainżynierskie projektując złożone urządzenie techniczne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MiBM2_U04, MiBM2_U05, MiBM2_U06, MiBM2_U07, MiBM2_U12, MiBM2_U13, MiBM2_U14, MiBM2_U15, MiBM2_U16, MiBM2_U18, MiBM2_U19,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T2A_U05, T2A_U10, T2A_U15, T2A_U07, T2A_U08, T2A_U09, T2A_U08, T2A_U09, T2A_U10, T2A_U11, T2A_U14, T2A_U14,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NK479_K1: </w:t>
      </w:r>
    </w:p>
    <w:p>
      <w:pPr/>
      <w:r>
        <w:rPr/>
        <w:t xml:space="preserve">														Umiejętność pracy grupowej i
gotowość dostrzegania
pozatechnicznych aspektów
projektu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2026-10-01T21:35:00+02:00</dcterms:created>
  <dcterms:modified xsi:type="dcterms:W3CDTF">2026-10-01T21:35:00+02:00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