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godz
nauka do kolokwium 1-go: 10 godz
nauka do kolokwium 2-go: 10 godz
konsultacje: 3 godz.
Razem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(prowadzenie zajęć:30 godz, konsultacje:2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NS606 - Spalanie (SPAL)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
7.Metody rozpylania paliwa - badania i dobór wtryskiwaczy  
8.Proces dyfuzji i spalanie kropel paliwa
9.Podstawy organizacji zapłonu i spalania
10.Pętle stabilnego zapłonu i spalania
11.Podstawy modelowanie procesu spalania w komorach
12.Rura żarowa  - obliczenia cieplne i wytrzymałościowe
13.Metody ograniczania emisji toksycznych produktów spalania.
14.Podstawy obliczeń i projektowania komory spalania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
kolokwium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
5. J. B. Heywood, „Internal Combustion Engine Fundamentals”, McGrawHill Book Co., New York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NS640_W1: </w:t>
      </w:r>
    </w:p>
    <w:p>
      <w:pPr/>
      <w:r>
        <w:rPr/>
        <w:t xml:space="preserve">							Student zna podstawy procesu spalania mieszanin paliwowo-powietrznych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NS640_W2: </w:t>
      </w:r>
    </w:p>
    <w:p>
      <w:pPr/>
      <w:r>
        <w:rPr/>
        <w:t xml:space="preserve">							Student zna podstawy aerodynamiki komór spalania silników turboodrzutowych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NS640_W3: </w:t>
      </w:r>
    </w:p>
    <w:p>
      <w:pPr/>
      <w:r>
        <w:rPr/>
        <w:t xml:space="preserve">							Student zna podstawowe metody organizacji procesów spalania w komorze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NS640_U1: </w:t>
      </w:r>
    </w:p>
    <w:p>
      <w:pPr/>
      <w:r>
        <w:rPr/>
        <w:t xml:space="preserve">							student potrafi przeprowadzić obliczenia gazodynamiczne komory splania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NS640_U2: </w:t>
      </w:r>
    </w:p>
    <w:p>
      <w:pPr/>
      <w:r>
        <w:rPr/>
        <w:t xml:space="preserve">							student potrafi zaprojektować dyfuzor wlotowy do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NS640_U3: </w:t>
      </w:r>
    </w:p>
    <w:p>
      <w:pPr/>
      <w:r>
        <w:rPr/>
        <w:t xml:space="preserve">							student potrafi zaprojektować wstępną  aerodynamikę typowej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NS640_U4: </w:t>
      </w:r>
    </w:p>
    <w:p>
      <w:pPr/>
      <w:r>
        <w:rPr/>
        <w:t xml:space="preserve">							student poptrafiwykonać projekt wstępny geometrii całej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2026-10-08T18:21:06+02:00</dcterms:created>
  <dcterms:modified xsi:type="dcterms:W3CDTF">2026-10-08T18:21:06+02:00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