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godzin;
b) udział w laboratoriach - 15 godzin,
c) udział w konsultacjach - 10 godzin; 
2) 20 godzin pracy własnej poświęconej poszerzeniu wiedzy teoretycznej z wykorzystaniem zalecanej literatury oraz ćwiczeniom komputerowym dla poznania działania komercyjnych kodów symulacji zagadnień mechaniki płynów i wymiany ciepła w zastosowaniach inżynierskich.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godzin;
b) laboratoria - 15 godzin,
c) konsultacje - 10 godzin;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15- godzin pracy laboratorium,
2) 10 - konsultacje przy programie komputerowym.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NW122 - Mechanika płynów 1 (MP1)
NK481 - Równania różniczkowe cząstkowe (RRC)
NK423 - Wymiana ciepła 1 (WYCIEP1)
NW414 - Informatyka 2 (INFA2)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 
2. Model matematyczny ruchu płynu nieściśliwego i wymiany ciepła – całkowe i różniczkowe równania zachowania
3. Metody dyskretyzacji obszaru geometrycznego
4. Przegląd współczesnych metod numerycznych mechaniki płynów i wymiany ciepła – Metoda Objętości Kontrolnych (MOK), Metoda Elementów Skończonych (MES) 
5. Modelowanie ustalonej i nieustalonej dyfuzji na siatkach objętości kontrolnych i elementów skończonych 
6. Modelowanie konwekcyjno-dyfuzyjnego transportu wielkości polowej – techniki pod prąd w modelach MOK i MES
7. Analiza dokładności modelu numerycznego – zgodność, stabilność, zbieżność, ocena dokładności na siatkach o umiarkowanych gęstościach
8. Przegląd algorytmów obliczeniowych metod MOK i MES w zagadnieniach konwekcji płynu nieściśliwego 
9. Przegląd metod rozwiązania układów liniowych równań algebraicznych
10. Wprowadzenie do modelowania turbulencji
11. Ocena wiarygodności symulacji komputerowej zagadnień ruchu płynu i wymiany ciepła – weryfikacja i walidacja obliczeń, przykłady 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 NK347_W2: </w:t>
      </w:r>
    </w:p>
    <w:p>
      <w:pPr/>
      <w:r>
        <w:rPr/>
        <w:t xml:space="preserve">							Zna podstawy współczesnych metod modelowania numerycznego zagadnień mechaniki płynów i wymiany ciepła, w tym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 NK347_W3: </w:t>
      </w:r>
    </w:p>
    <w:p>
      <w:pPr/>
      <w:r>
        <w:rPr/>
        <w:t xml:space="preserve">							Zna podstawowe metody analizy i oszacowania błędów rozwiązań numerycznych dla zagadnień opisanych równaniami różniczkowymi cząstkowymi.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 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T2A_U15</w:t>
      </w:r>
    </w:p>
    <w:p>
      <w:pPr>
        <w:keepNext w:val="1"/>
        <w:spacing w:after="10"/>
      </w:pPr>
      <w:r>
        <w:rPr>
          <w:b/>
          <w:bCs/>
        </w:rPr>
        <w:t xml:space="preserve">Efekt  NK347_U2: </w:t>
      </w:r>
    </w:p>
    <w:p>
      <w:pPr/>
      <w:r>
        <w:rPr/>
        <w:t xml:space="preserve">														Posiada umiejętność wykorzystania komercyjnych kodów (w tym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E2_U13, E2_U18,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T2A_U10, T2A_U15, T2A_U18, T2A_U19</w:t>
      </w:r>
    </w:p>
    <w:p>
      <w:pPr>
        <w:keepNext w:val="1"/>
        <w:spacing w:after="10"/>
      </w:pPr>
      <w:r>
        <w:rPr>
          <w:b/>
          <w:bCs/>
        </w:rPr>
        <w:t xml:space="preserve">Efekt  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E2_U11, E2_U13,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T2A_U10,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2026-10-01T02:11:32+02:00</dcterms:created>
  <dcterms:modified xsi:type="dcterms:W3CDTF">2026-10-01T02:11:32+02:00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