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
1) Liczba godzin kontaktowych: 50, w tym:
a) udział w wykładach - 30 godz.,
b) udział w ćwiczeniach laboratoryjnych komputerowych - 15 godz.
c) konsultacje - 5 godz.
2) Praca własna studenta - 55 godz., w tym:
a) bieżące przygotowywanie się do zajęć, studia literaturowe. - 15 godz.
b) przygotowanie się do kolokwiów, testu zaliczeniowego  - 20 godz.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
Wyznaczanie naprężeń w  powłokach osiowosymetrycznych.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Praca własna: opracowanie raportów z ćwiczeń laboratoryjnych w trakcie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T2A_W07</w:t>
      </w:r>
    </w:p>
    <w:p>
      <w:pPr>
        <w:keepNext w:val="1"/>
        <w:spacing w:after="10"/>
      </w:pPr>
      <w:r>
        <w:rPr>
          <w:b/>
          <w:bCs/>
        </w:rPr>
        <w:t xml:space="preserve">Efekt 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T2A_W07</w:t>
      </w:r>
    </w:p>
    <w:p>
      <w:pPr>
        <w:keepNext w:val="1"/>
        <w:spacing w:after="10"/>
      </w:pPr>
      <w:r>
        <w:rPr>
          <w:b/>
          <w:bCs/>
        </w:rPr>
        <w:t xml:space="preserve">Efekt 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E2_U09,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E2_U09,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E2_U09,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NK342_U4: </w:t>
      </w:r>
    </w:p>
    <w:p>
      <w:pPr/>
      <w:r>
        <w:rPr/>
        <w:t xml:space="preserve">Potrafi samodzielnie zbudować i rozwiązać prosty liniowy model MES konstrukcji prętowej dla zadanych warunków obciążenia i podparcia (pręt rozciągany, belka, kratownica, rama).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NK342_U5: </w:t>
      </w:r>
    </w:p>
    <w:p>
      <w:pPr/>
      <w:r>
        <w:rPr/>
        <w:t xml:space="preserve">Potrafi wyznaczyć zastępcze obciążenie węzłowe w prętowym i płaskim elemencie skończonym dla prostego przypadku obciążenia.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2026-03-20T11:34:05+01:00</dcterms:created>
  <dcterms:modified xsi:type="dcterms:W3CDTF">2026-03-20T11:34:05+01:00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