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
b) konsultacje - 2 godz.
2) Praca własna studenta - 20 godz., w tym:
a) bieżące przygotowywanie się do zajęć, studia literaturowe, przygotowanie indywidualnej prezentacji studenta - 10 godz.
c) przygotowanie się do kolokwiów.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 równoczesnej wymiany ciepła i masy.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Dodatkowe literatura:
- Materiały na stronie http://www.itc.pw.edu.pl,
-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ML.NS536_W1: </w:t>
      </w:r>
    </w:p>
    <w:p>
      <w:pPr/>
      <w:r>
        <w:rPr/>
        <w:t xml:space="preserve">														Student potrafi dobrać odpowiedni typ wymiennika ciepła do określonych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ML.NS536_U1: </w:t>
      </w:r>
    </w:p>
    <w:p>
      <w:pPr/>
      <w:r>
        <w:rPr/>
        <w:t xml:space="preserve">	Student umie obliczyć wymagane parametry konstrukcyjne i eksploatacyjne wymiennika ciepła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2026-10-21T05:42:26+02:00</dcterms:created>
  <dcterms:modified xsi:type="dcterms:W3CDTF">2026-10-21T05:42:26+02:00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