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VI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Gadomski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NK368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30 godz. - projekt
b) 5 godz. - konsultacje
2. Praca własna studenta: 15 godz., w tym:
a) 15 godz. - praca nad przygotowaniem projektu konstrukcyjnego
3. Razem - 50 godzin =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 30 godz. - projekt
b) 5 godz. -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- 45 godz., w tym  a) uczestnictwo w zajęciach projektowych - 30 godz.
b) 15 godz. pracy własnej - przygotowanie projektu konstrukcyjnego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Konstrukcji II, Materiały I, Techniki Wytwarzania II, Podstawy Konstrukcji Maszyn III, Zapis Konstrukcji CAD II, Zintegrowane systemy CAD/CAM/CAE, Podstawy Konstrukcji Maszyn IV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studentów zasad wykonywania projektów konstrukcyjno-obliczeniowych zespołów napędowych. Student nabywa umiejętności samodzielnego przeprowadzenia procesu konstruowania zakończonego wykonaniem dokumentacji rysunkowej urządzenia oraz obliczeń w zakresie mechaniki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układu przeniesienia napędu. Dobór przekładni i silnika zgodnie z odpowiednimi metodami obliczeniowymi. Dobór materiałów do elementów niestandardowych. Propozycja kształtu elementów niestandardowych. Dobór łożysk, rodzajów zabezpieczeń, uszczelnień i systemu smarowania. Dobór elementów gotowych dostępnych na rynku. Obliczenia statyki i wytrzymałości. Wykonanie w systemie CAD rysunku złożeniowego i rysunków warsztatowych wybranych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Dyskusja w czasie zajęć
2. Sprawdzenie i ocena oddanej w ściśle określonym terminie dokumentacji rysunkowej i obliczeniowej
3. Omówienie z prowadzącym sprawdzonego projektu – analiza błędów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Podstawy konstrukcji maszyn, praca zbiorowa pod redakcją M.Dietricha, WNT; 2. L.W. Kurmaz, Projektowanie węzłów i części maszyn, Wydawnictwo Politechniki Świętokrzyskiej; 3. Poradnik Mechanika; 4. Katalog Łożysk Tocznych; 5. Materiały dostarczone przez wykładowcę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NK368_U1: </w:t>
      </w:r>
    </w:p>
    <w:p>
      <w:pPr/>
      <w:r>
        <w:rPr/>
        <w:t xml:space="preserve">							Potrafi zaprojektować stacjonarny układ przeniesienia napędu realizujący ściśle określoną funkcję i spełniający narzucone z góry założenia konstrukcyjne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MiBM1_U07, MiBM1_U09, MiBM1_U10, MiBM1_U12,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T1A_U10, T1A_U14, T1A_U10, T1A_U10, T1A_U14, T1A_U16,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NK368_U2: </w:t>
      </w:r>
    </w:p>
    <w:p>
      <w:pPr/>
      <w:r>
        <w:rPr/>
        <w:t xml:space="preserve">							Potrafi sporządzić model uproszczony urządzenia pozwalający na przeprowadzenie poprawnej analizy z zakresu statyki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NK368_U3: </w:t>
      </w:r>
    </w:p>
    <w:p>
      <w:pPr/>
      <w:r>
        <w:rPr/>
        <w:t xml:space="preserve">							Posiada umiejętność nadawania elementom maszyny kształtów i wymiarów w taki sposób aby w połączeniu z właściwym doborem materiałów konstrukcyjnych i dostępnych metod wytwarzania zapewnić wytrzymałość, sztywność i trwałość warunkującą poprawne i bezpieczne funkcjonowanie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MiBM1_U14, MiBM1_U16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T1A_U15, T1A_U16</w:t>
      </w:r>
    </w:p>
    <w:p>
      <w:pPr>
        <w:keepNext w:val="1"/>
        <w:spacing w:after="10"/>
      </w:pPr>
      <w:r>
        <w:rPr>
          <w:b/>
          <w:bCs/>
        </w:rPr>
        <w:t xml:space="preserve">Efekt Nk368_U4: </w:t>
      </w:r>
    </w:p>
    <w:p>
      <w:pPr/>
      <w:r>
        <w:rPr/>
        <w:t xml:space="preserve">							Potrafi wykorzystywać systemy wspomagania projektowania typu CAD/CAE na wszystkich etapach projektowania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NK368_U5: </w:t>
      </w:r>
    </w:p>
    <w:p>
      <w:pPr/>
      <w:r>
        <w:rPr/>
        <w:t xml:space="preserve">							Jest w stanie zaproponować i zastosować podparcie elementów przeniesienia napędu na łożyskach tocznych różnego typu o odpowiedniej trwałości, właściwie osadzonych, smarowanych, uszczelnionych i zabezpieczonych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T1A_U10, T1A_U13</w:t>
      </w:r>
    </w:p>
    <w:p>
      <w:pPr>
        <w:keepNext w:val="1"/>
        <w:spacing w:after="10"/>
      </w:pPr>
      <w:r>
        <w:rPr>
          <w:b/>
          <w:bCs/>
        </w:rPr>
        <w:t xml:space="preserve">Efekt NK368_U6: </w:t>
      </w:r>
    </w:p>
    <w:p>
      <w:pPr/>
      <w:r>
        <w:rPr/>
        <w:t xml:space="preserve">							Umie decydować o dokładności elementów maszyn poprzez wykorzystanie analizy tolerancji, stosowanie określonych pasowań i wybór odpowiedniej chropowatości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MiBM1_U16, MiBM1_U20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NK368_U7: </w:t>
      </w:r>
    </w:p>
    <w:p>
      <w:pPr/>
      <w:r>
        <w:rPr/>
        <w:t xml:space="preserve">							Potrafi zaprojektować zespół napędowy w którym przewidziano odpowiednie dostępy montażowe i obsługowe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MiBM1_U10, MiBM1_U20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NK368_U8: </w:t>
      </w:r>
    </w:p>
    <w:p>
      <w:pPr/>
      <w:r>
        <w:rPr/>
        <w:t xml:space="preserve">							Potrafi odszukać i stosować gotowe podzespoły układów napędowych dostępne na rynku, umie korzystać z odpowiednich norm, specyfikacji materiałów konstrukcyjnych i przepisów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2026-07-29T22:14:11+02:00</dcterms:created>
  <dcterms:modified xsi:type="dcterms:W3CDTF">2026-07-29T22:14:11+02:00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