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
a) przygotowanie do zajęć laboratoryjnych -10 godz.
b) zapoznanie się ze wskazana literaturą - 8 godz.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NK400_U9: </w:t>
      </w:r>
    </w:p>
    <w:p>
      <w:pPr/>
      <w:r>
        <w:rPr/>
        <w:t xml:space="preserve">							Potrafi praktycznie stosować metody badania struktury geometrycznej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2026-10-02T16:42:20+02:00</dcterms:created>
  <dcterms:modified xsi:type="dcterms:W3CDTF">2026-10-02T16:42:20+02:00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