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TR.NMS101</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ćwiczenia laboratoryjnych 9, zapoznanie się ze wskazana literaturą 28, konsultacje 3 (w tym 2 w zakresie zajęć laboratoryjnych), przygotowanie do egzaminu 12, przygotowanie do zajęć laboratoryjnych 18, udział w egzaminie 2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 w tym: uczestnictwo w wykładzie 18 godz., praca na laboratoriach: 9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9 godz., przygotowanie się do zajęć laboratoryjnych: 18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w:t>
      </w:r>
    </w:p>
    <w:p>
      <w:pPr>
        <w:keepNext w:val="1"/>
        <w:spacing w:after="10"/>
      </w:pPr>
      <w:r>
        <w:rPr>
          <w:b/>
          <w:bCs/>
        </w:rPr>
        <w:t xml:space="preserve">Limit liczby studentów: </w:t>
      </w:r>
    </w:p>
    <w:p>
      <w:pPr>
        <w:spacing w:before="20" w:after="190"/>
      </w:pPr>
      <w:r>
        <w:rPr/>
        <w:t xml:space="preserve">wykład: brak, ćwiczenia lab. w symulatorze autoPW - maksimum 8 osob, ćwicz. lab. w laboratorium ZEiUP - maksimu 10 osob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Prezentacja konstrukcji wybranych zespołów nowoczesnego samochodu; ocena toksyczności spalin silników spalinowych, eksperymentalne wyznaczanie położenia środka masy samochodu; – ćwiczenia w laboratorium Zakładu EiUP.
Badania kierowalności i stateczności samochodu na podstawie testów ISO – testy zamknięte (według norm ISO 4138, ISO 3888), testy otwarte (według normy ISO 7401) – ćwiczenia z wykorzystaniem symulatora jazdy samochodem (autoPW).
</w:t>
      </w:r>
    </w:p>
    <w:p>
      <w:pPr>
        <w:keepNext w:val="1"/>
        <w:spacing w:after="10"/>
      </w:pPr>
      <w:r>
        <w:rPr>
          <w:b/>
          <w:bCs/>
        </w:rPr>
        <w:t xml:space="preserve">Metody oceny: </w:t>
      </w:r>
    </w:p>
    <w:p>
      <w:pPr>
        <w:spacing w:before="20" w:after="190"/>
      </w:pPr>
      <w:r>
        <w:rPr/>
        <w:t xml:space="preserve">Egzamin w formie pisemnej i (uzupełniająco) ustnej. Ćwiczenia laboratoryjne - kolokwia, ocena sprawozdań i ocena pracy w trakcie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Reimpell J., Betzler J. Podwozia samochodów. Podstawy konstrukcji. WKŁ, Warszawa 2001r. (lub Reimpell J. Podwozia samochodów. Podstawy konstrukcji. WKŁ, Warszawa 1997r.)
2) Reński A. Budowa samochodów. Układy hamulcowe i kierownicze oraz zawieszenia. OWPW, Warszawa, 1997r.
3) BOSCH, Informator techniczny „Układy bezpieczeństwa i komfortu jazdy”, WKŁ, W-wa 2000r.
4) Merkisz J. Ekologiczne problemy silników spalinowych,tom I. Wydawnictwo Politechniki Poznańskiej, Poznań 1998
5) Merkisz J. Ekologiczne problemy silników spalinowych, tom II. Wydawnictwo Politechniki Poznańskiej, Poznań 1999
6)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efekty kierunkowe: </w:t>
      </w:r>
      <w:r>
        <w:rPr/>
        <w:t xml:space="preserve">Tr2A_U07, Tr2A_U01</w:t>
      </w:r>
    </w:p>
    <w:p>
      <w:pPr>
        <w:spacing w:before="20" w:after="190"/>
      </w:pPr>
      <w:r>
        <w:rPr>
          <w:b/>
          <w:bCs/>
        </w:rPr>
        <w:t xml:space="preserve">Powiązane efekty obszarowe: </w:t>
      </w:r>
      <w:r>
        <w:rPr/>
        <w:t xml:space="preserve">T2A_U09,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2025-04-12T06:52:21+02:00</dcterms:created>
  <dcterms:modified xsi:type="dcterms:W3CDTF">2025-04-12T06:52:21+02:00</dcterms:modified>
</cp:coreProperties>
</file>

<file path=docProps/custom.xml><?xml version="1.0" encoding="utf-8"?>
<Properties xmlns="http://schemas.openxmlformats.org/officeDocument/2006/custom-properties" xmlns:vt="http://schemas.openxmlformats.org/officeDocument/2006/docPropsVTypes"/>
</file>