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prawne funkcjonowania i wyposażenie stacji kontroli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Jerzy R. Bogdański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TR.SMS120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wykładach 30 godz., studiowanie literatury w zakresie wykładu 16 godz., przygotowanie się do zaliczenia wykładu 12 godz., konsultacje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(32 godz., w tym: praca na wykładach 30 godz., konsultacje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 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zapoznanie studenta z zagadnieniami warunkującymi prawne aspekty funkcjonowania stacji kontroli pojazdów (SKP) w Polsce, metodami kontroli stanu technicznego w SKP, metodami badania pojazdów specjalnych oraz z wyposażeniem SKP.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akty prawne warunkujące funkcjonowanie Stacji Kontroli Pojazdów. Podstawowe definicje i określenia. Podział aktów prawnych i ich znaczenie dla systemu badań technicznych. Akty prawne warunkujące realizację procesu technologicznego badania pojazdu. Badania podstawowe i rozszerzone. Badania pojazdów specjalnych. Wymagania technologiczne stawiane Stacjom Kontroli Pojazdów. Wymagania odnoszące się do wyposażenia technologicznego SKP. Przykłady rozwiązań technologicznych i wyposażenia istniejących stacji. Przepisy warunkujące wykonanie prawidłowego projektu technologicznego oraz dobór wyposażenia SKP. Wymagania stawiane diagnostom.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kolokwium, część pisemna i ustna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dostarczone przez prowadzącego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o podstawowych aktach prawnych warunkujących funkcjonowanie Stacji Kontroli Pojazdów.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zna podstawowe definicje i określenia. oraz podział aktów prawnych i ich znaczenie dla systemu badań technicznych.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akty prawne warunkujące realizację procesu technologicznego badania pojazdu oraz badania podstawowe i rozszerzone, badania pojazdów specjalnych.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W04: </w:t>
      </w:r>
    </w:p>
    <w:p>
      <w:pPr/>
      <w:r>
        <w:rPr/>
        <w:t xml:space="preserve">ma podstawową wiedzę o wymaganiach technologicznych stawianych Stacjom Kontroli Pojazdów oraz o wymaganiach odnoszących się do wyposażenia technologicznego SKP.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W05: </w:t>
      </w:r>
    </w:p>
    <w:p>
      <w:pPr/>
      <w:r>
        <w:rPr/>
        <w:t xml:space="preserve">zna przykłady rozwiązań technologicznych i wyposażenia istniejących stacji oraz przepisy warunkujące wykonanie prawidłowego projektu technologicznego oraz dobór wyposażenia SKP. A także wymagania stawiane diagnostom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pozyskać informacje z literatury dotyczące zagadnień odnoszących się do aktów prawnych w SKP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U03: </w:t>
      </w:r>
    </w:p>
    <w:p>
      <w:pPr/>
      <w:r>
        <w:rPr/>
        <w:t xml:space="preserve">potrafi wykorzystać poznane akty prawne do analizowania ich wpływu na proces technologiczny badania pojazdu w SKP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umie dokonać krytycznej analizy zapisów sformułowań użytych w analizowanych aktach prawnych.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– część pisemna i ustna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Tr2A_K01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T2A_K06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2025-04-11T20:27:40+02:00</dcterms:created>
  <dcterms:modified xsi:type="dcterms:W3CDTF">2025-04-11T20:27:40+02:00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