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i układy sterowania ruchem kolejowym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Paweł Drózd, as., Wydział Transportu Politechniki Warszawskiej Zakład Sterowania Ruchem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studiowanie literatury przedmiotu 25 godz., przygotowanie się do egzaminu 15 godz., udział w egzaminie 2 godz., konsultacje 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(20 godz., w tym: praca na wykładach 15 godz., udział w egzaminie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materiału z przedmiotów: elektrotechnika I i II, infrastruktura transportu, podstawy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analizy i oceny charakterystyk elementów zewnętrznych urządzeń sterowania ruchem kolejowym służących do kontroli niezajętości. Poznanie parametrów obwodów kontroli niezajętości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Charakterystyka obwodów torowych. Systemy izolacji. Elementy elektrycznych obwodów torowych, dławik torowy. Analiza pracy obwodu torowego ze złączami stykowymi pod kątem kontroli niezajętości. Parametry jednostkowe i falowe obwodów torowych. Analiza pracy obwodu torowego ze złączami bezstykowymi. Analiza pracy obwodu nakładanego. Licznikowa kontrola niezajętości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lub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Dąbrowa-Bajon M.: Podstawy sterowania ruchem kolejowym, Oficyna Wydawnicza Politechniki Warszawskiej, Warszawa 2007r. 
Dyduch J., Kornaszewski M.: Systemy sterowania ruchem kolejowym Wydawnictwo Politechniki Radomskiej, Radom 2003r. 
Dyduch J., Pawlik M.: Systemy automatycznej kontroli jazdy pociągu. Wydawnictwo Politechniki Radomskiej, Radom 2002r. 
Bergiel K., Karbowiak H.: Automatyzacja prowadzenia pociągu. EMI PRESS, Łódź 2005r. 
Karaś S.: Elementy elektrycznych urządzeń zrp. WPW Warszawa 1965r. 
Apuniewicz S, Lubicz-Rudnicki B.: Obwody torowe. WPW Warszawa 1965r.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określone cechy obwodów kontorli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elementy drogi kolejowej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parametry elementów drogi kolejowej wpływające na pracę obwodu kontroli niezajętości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poznaje nowe techniki stosowane w kontroli niezajetości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rozumie cel stosowania obwodów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poznaje specyficzne słownictwo charakterystyczne dla studiowanej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uczenia się, w celu podnoszenia swoich kompetencji zawodowych i osobistych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wpływu działalności inżynierskiej na środowisko i odpowiedzialność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</w:t>
      </w:r>
    </w:p>
    <w:p>
      <w:pPr>
        <w:keepNext w:val="1"/>
        <w:spacing w:after="10"/>
      </w:pPr>
      <w:r>
        <w:rPr>
          <w:b/>
          <w:bCs/>
        </w:rPr>
        <w:t xml:space="preserve">Efekt K03: </w:t>
      </w:r>
    </w:p>
    <w:p>
      <w:pPr/>
      <w:r>
        <w:rPr/>
        <w:t xml:space="preserve">rozumie społeczne aspekty stosowania zdobytej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2025-07-08T01:44:49+02:00</dcterms:created>
  <dcterms:modified xsi:type="dcterms:W3CDTF">2025-07-08T01:44:49+02:00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