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TR.SIS401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30 godz., praca na ćwiczeniach 15 godz., studiowanie literatury przedmiotu 15 godz., wykonanie pracy projektowej (obliczenia trakcyjne) (ćwicz.) 18 godz., konsultacje 2 godz., przygotowanie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w:t>
      </w:r>
    </w:p>
    <w:p>
      <w:pPr>
        <w:keepNext w:val="1"/>
        <w:spacing w:after="10"/>
      </w:pPr>
      <w:r>
        <w:rPr>
          <w:b/>
          <w:bCs/>
        </w:rPr>
        <w:t xml:space="preserve">Metody oceny: </w:t>
      </w:r>
    </w:p>
    <w:p>
      <w:pPr>
        <w:spacing w:before="20" w:after="190"/>
      </w:pPr>
      <w:r>
        <w:rPr/>
        <w:t xml:space="preserve">wykład - 2 kolokwia; ćwiczenia – 2 kolokwia,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Tr1A_W09, Tr1A_W10, Tr1A_W12</w:t>
      </w:r>
    </w:p>
    <w:p>
      <w:pPr>
        <w:spacing w:before="20" w:after="190"/>
      </w:pPr>
      <w:r>
        <w:rPr>
          <w:b/>
          <w:bCs/>
        </w:rPr>
        <w:t xml:space="preserve">Powiązane efekty obszarowe: </w:t>
      </w:r>
      <w:r>
        <w:rPr/>
        <w:t xml:space="preserve">T1A_W04, T1A_W05, T1A_W08, T1A_W04, T1A_W07, T1A_W08, T1A_W07, T1A_W08</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Tr1A_U01, Tr1A_U08, Tr1A_U19, Tr1A_U22</w:t>
      </w:r>
    </w:p>
    <w:p>
      <w:pPr>
        <w:spacing w:before="20" w:after="190"/>
      </w:pPr>
      <w:r>
        <w:rPr>
          <w:b/>
          <w:bCs/>
        </w:rPr>
        <w:t xml:space="preserve">Powiązane efekty obszarowe: </w:t>
      </w:r>
      <w:r>
        <w:rPr/>
        <w:t xml:space="preserve">T1A_U01, T1A_U07, T1A_U14,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2026-10-22T01:32:25+02:00</dcterms:created>
  <dcterms:modified xsi:type="dcterms:W3CDTF">2026-10-22T01:32:25+02:00</dcterms:modified>
</cp:coreProperties>
</file>

<file path=docProps/custom.xml><?xml version="1.0" encoding="utf-8"?>
<Properties xmlns="http://schemas.openxmlformats.org/officeDocument/2006/custom-properties" xmlns:vt="http://schemas.openxmlformats.org/officeDocument/2006/docPropsVTypes"/>
</file>