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laboratorium/ Chemistry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dr inż. Anna Krztoń-Maziopa, 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WIM-CHL-2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liczba godzin pracy studenta: 145, obejmuje:
1)	godziny kontaktowe – 60 godzin laboratoriów,
2)	 zapoznanie się ze wskazaną literaturą – 15godzin;
3)	przygotowanie się do sprawdzianów/kolokwium – 30 godzin;
4)	przygotowanie się do wykonania części doświadczalnej, opracowanie sprawozdań z laboratoriów – 40 godzin.
Razem nakład pracy studenta: 60h + 15h + 30h + 20h = 145.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laboratoriach –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3 punkty ECTS- Ogółem liczba godzin pracy studenta: 100 godzin, obejmuje:
1)	udział w laboratoriach -  60 godzin,
2)	przygotowanie się do wykonania części doświadczalnej, opracowanie sprawozdań z laboratoriów –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przedmiot: Chemia 1 (wykład + 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 mieć ogólną wiedzę teoretyczną na temat podstawowych zagadnień chemii nieorganicznej, w tym: równowag ustalających się w roztworze wodnym (w reakcjach kwasowo-zasadowych, kompleksowania, utleniania-redukcji, hydrolizy oraz w układzie sól trudnorozpuszczalna-roztwór), metod pomiaru pH, przewodnictwa elektrolitycznego oraz siły elektromotorycznej ogniw galwanicznych;
• posiadać wiedzę z zakresu syntezy związków nieorganicznych oraz badania własności chemicznych drobin trwałych w roztworze wodnym oraz w fazie stałej, umieć wykorzystać poznane własności w analizie jakościowej kationów i anionów oraz w analizie zanieczyszczeń wody;
• znać reguły bezpiecznej pracy w laboratorium chemicznym oraz nabyć biegłości w posługiwaniu się podstawowym sprzętem laboratoryjnym;
• posiadać umiejętność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zakresu chemii ogólnej i nieorganicznej:
• Równowagi jonowe w roztworach wodnych; dysocjacja elektrolityczna elektrolitów mocnych i słabych w reakcjach zobojętnienia; wpływ stężenia słabego elektrolitu na stopień dysocjacji. (4h)
• Właściwości roztworów buforowych; wpływ rozcieńczenia buforu na pH; hydroliza drobin w roztworach wodnych oraz wpływ różnych czynników na hydrolizę. (4h)
• Równowagi w reakcjach kompleksowania; otrzymywanie oraz trwałość związków kompleksowych; badanie właściwości kompleksotwórczych kationów oraz zdolności kompleksujących różnych ligandów. (4h)
• Iiloczyn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 (4h)
• Równowagi w reakcjach utelniania-redukcji; potencjał układów red-ox; ogniwa galwaniczne. (4h)
• Równowagi w reakcjach kwasowo-zasadowych; wyznaczanie krzywych miareczkowania kwasów. (4h)
• Zapoznanie się ze spektralną analizą emisyjną na przykładzie badania związków litowców i berylowców; synteza związków nieorganicznych; wpływ właściwości chemicznych drobin na przebieg reakcji rozkładu termicznego. (4h)
• Właściwości wybranych kationów - poznanie właściwości kwasowo-zasadowych oraz red-ox kationów; poznanie podstaw systematycznej analizy jakościowej kationów. (8h)
• Właściwości anionów I i II okresu rdzeniowego; poznanie właściwości red-ox oraz kwasowo-zasadowych. (8h)
•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 (4h)
• Analiza zanieczyszczeń wody – ocena jakości wody; metody analizy zanieczyszczeń wody; metody oczyszczania i uzdatniania wody. (4h)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(sprawdziany oraz sprawozdania); ocena zdobytych umiejętności eksperymentatorskich; kolokwium podsumowujące.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 2000.
2. K. Juszczyk, J. Nieniewska, Ćwiczenia rachunkowe z chemii ogólnej, Wydawnictwo Politechniki Warszawskiej, 1996.
3. Praca zbiorowa, Podstawy chemii w inżynierii materiałowej - Laboratorium, Oficyna Wydawnicza PW, Warszawa 2004.
4. J. Minczewski, Z. Marczenko, Chemia analityczna, Wyd. Naukowe PWN, Warszawa 2001.
5. A. Hulanicki, Reakcje kwasów i zasad w chemii analitycznej,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http://www.ch.pw.edu.pl/~aostrowski/Lab-Chemia/index.html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ChL_W1: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	ChL_W02: </w:t>
      </w:r>
    </w:p>
    <w:p>
      <w:pPr/>
      <w:r>
        <w:rPr/>
        <w:t xml:space="preserve">	Zna metody otrzymywania prostych związków nieorganicznych oraz własności chemiczne drobin trwałych w fazie stałej oraz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ChL_U01: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ChL_U02: </w:t>
      </w:r>
    </w:p>
    <w:p>
      <w:pPr/>
      <w:r>
        <w:rPr/>
        <w:t xml:space="preserve">	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studenta w trakcie wykonywania ćwiczeń oraz ocena sprawozdania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ChL_U03: </w:t>
      </w:r>
    </w:p>
    <w:p>
      <w:pPr/>
      <w:r>
        <w:rPr/>
        <w:t xml:space="preserve">W trakcie wykonywania doświadczeń stosuje zasady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ChL_U04: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chemii nieorganicznej.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ChL_K01: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samodzielnie;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2026-10-21T01:24:11+02:00</dcterms:created>
  <dcterms:modified xsi:type="dcterms:W3CDTF">2026-10-21T01:24:11+02:00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