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IM7-NMN-O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
Materiały ceramiczne 
Tworzywa metaliczne - stale szybkotnące 
Metalurgia proszków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
elementy procesu skrawania materiałów, 
stale szybkotnące konwencjonalne i spiekane 
spiekane materiały narzędziowe, (węgliki metali) 
ceramika narzędziowowa, 
materiały supertwarde 
technologie wytwarzania nowoczesnych materiałów narzędziowych 
technologie wytwarzania warstw wierzchnich i powłok na narzędziach do obróbki skrawaniem, 
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
T. Burakowski, T. Wierzchoń, Inżynieria powierzchni metali WNT Warszawa 1995,
P. Kula Inżynieria warstwy wierzchniej Monografie Łodź 2000, 
A. Michalski Fizykochemiczne podstawy otrzymywania powłok z fazy gazowej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NMN_U2: </w:t>
      </w:r>
    </w:p>
    <w:p>
      <w:pPr/>
      <w:r>
        <w:rPr/>
        <w:t xml:space="preserve">potrafi dokonać wyboru właściwego narzędzia do obróbki skrawaniem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2026-09-30T02:43:00+02:00</dcterms:created>
  <dcterms:modified xsi:type="dcterms:W3CDTF">2026-09-30T02:43:00+02:00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