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Problemowe-ekspertyza materiałowa II/ Material Expertise Seminar II</w:t>
      </w:r>
    </w:p>
    <w:p>
      <w:pPr>
        <w:keepNext w:val="1"/>
        <w:spacing w:after="10"/>
      </w:pPr>
      <w:r>
        <w:rPr>
          <w:b/>
          <w:bCs/>
        </w:rPr>
        <w:t xml:space="preserve">Koordynator przedmiotu: </w:t>
      </w:r>
    </w:p>
    <w:p>
      <w:pPr>
        <w:spacing w:before="20" w:after="190"/>
      </w:pPr>
      <w:r>
        <w:rPr/>
        <w:t xml:space="preserve">prof dr hab.inż.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SP-EM-I-2</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metali nieżelaznych,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SPWMII_1: </w:t>
      </w:r>
    </w:p>
    <w:p>
      <w:pPr/>
      <w:r>
        <w:rPr/>
        <w:t xml:space="preserve">Posiada wiedzę z zakresu ekspertyz detali wykonanych ze stopów metali nieżelaznych</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w:t>
      </w:r>
    </w:p>
    <w:p>
      <w:pPr>
        <w:pStyle w:val="Heading3"/>
      </w:pPr>
      <w:bookmarkStart w:id="3" w:name="_Toc3"/>
      <w:r>
        <w:t>Profil ogólnoakademicki - umiejętności</w:t>
      </w:r>
      <w:bookmarkEnd w:id="3"/>
    </w:p>
    <w:p>
      <w:pPr>
        <w:keepNext w:val="1"/>
        <w:spacing w:after="10"/>
      </w:pPr>
      <w:r>
        <w:rPr>
          <w:b/>
          <w:bCs/>
        </w:rPr>
        <w:t xml:space="preserve">Efekt SPWMII_U1: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SPWMII_U2: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2026-10-21T13:30:23+02:00</dcterms:created>
  <dcterms:modified xsi:type="dcterms:W3CDTF">2026-10-21T13:30:23+02:00</dcterms:modified>
</cp:coreProperties>
</file>

<file path=docProps/custom.xml><?xml version="1.0" encoding="utf-8"?>
<Properties xmlns="http://schemas.openxmlformats.org/officeDocument/2006/custom-properties" xmlns:vt="http://schemas.openxmlformats.org/officeDocument/2006/docPropsVTypes"/>
</file>