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Część wprowadzająca – 4 godziny; samodzielne opracowanie wylosowanego tematu projektu – 12 godzin; udział w dyskusji nad zaprezentowanymi projektami innych uczestników seminarium – 10 godzin; razem 26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M. F. Ashby, D. R. H. Jones – „Materiały Inżynierskie” – WNT, 1996 r., część II, K. Przybyłowicz – „Metaloznawstwo Teoretyczne” – skrypt AGH nr 984, Kraków, 1985 r, R. Pampuch „Zarys Nauki o Materiałach – materiały ceramiczne” – PWN, 1997 r., M.F.Ashby – „Materials Selection in Mechanical Design” – Pregamon Press, 1992r., 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PTNiK_W1: </w:t>
      </w:r>
    </w:p>
    <w:p>
      <w:pPr/>
      <w:r>
        <w:rPr/>
        <w:t xml:space="preserve">Posiada uporządkowaną i podbudowaną teoretycznie wiedzę ogólną obejmującą takie zagadnienia jak: podstawy nauki o materiałach, mechanizmy niszczenia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PTNiK_W2: </w:t>
      </w:r>
    </w:p>
    <w:p>
      <w:pPr/>
      <w:r>
        <w:rPr/>
        <w:t xml:space="preserve">Posiada szczegółową wiedzę dotyczącą wybranych grup materiałów (struktura, właściwości, zastosowanie)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PTNiK_W3: </w:t>
      </w:r>
    </w:p>
    <w:p>
      <w:pPr/>
      <w:r>
        <w:rPr/>
        <w:t xml:space="preserve">Ma podstawową wiedzę o trwałości i niezawodności, cyklu życia urządzeń, obiektów i systemów technicznych oraz wpływie poprawnego doboru materiału na te cechy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PTNiK_U1: </w:t>
      </w:r>
    </w:p>
    <w:p>
      <w:pPr/>
      <w:r>
        <w:rPr/>
        <w:t xml:space="preserve">W oparciu o analizę dostępnych źródeł literatury fachowej potrafi przygotować referat na temat problemów trwałości narzędzi konstrukcyjnych. Przy przygotowywaniu referatu wykorzystuje technologie informacyjno-komunikacyjne. Potrafi zaprezentować przygotowany referat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PTNiK_K1: </w:t>
      </w:r>
    </w:p>
    <w:p>
      <w:pPr/>
      <w:r>
        <w:rPr/>
        <w:t xml:space="preserve">	Ma świadomość ważności i rozumie pozatechniczne aspekty i skutki działalności inżynierskiej w tym wpływu uwarunkowań ekonomicznych na dobór materiałów z punktu widzenia optymalizacji ich trwałości w kontekście 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wspólnej dyskusji nad przedstawionymi prezentacjami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2026-02-27T14:23:27+01:00</dcterms:created>
  <dcterms:modified xsi:type="dcterms:W3CDTF">2026-02-27T14:23:27+01:00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