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Dr inż. Jerzy Latuch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MBM-III-W</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WYKŁAD:Wykład 15 godzin, konsultacje przygotowujące do kolokwium oraz przeprowadzenie i sprawdzenie kolokwium. Razem 32 godziny = 1 punkt ECTS.
LABORATORIUM:Wprowadzenie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Obecność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WYKŁAD:Przekazanie studentom aktualnej wiedzy w zakresie metod badania materiałów, możliwości i ograniczeń różnych metod badawczych opartych na wykorzystaniu specjalistycznej aparatury.
LABORATORIUM:Przekazanie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WYKŁAD:Kolokwium pisemne na zakończenie wykładu oraz ocenie podlega udział w wykładach, aktywność.
LABORATORIUM:Zaliczenie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A. Oleś, Metody eksperymentalne w fizyce ciała stałego, WNT W-wa 1993; Instrumentalne metody badania materiałów – praca zbiorowa pod red. S. Jaźwińskiego, Wyd. PW W-wa 1983 i nast.; M. Pluta, Mikroskopia optyczna, PWN W-wa 1982; L. Kalinowski, Fizyka metali, PWN W-wa 1973;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MBM-III-W_W1: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w:t>
      </w:r>
    </w:p>
    <w:p>
      <w:pPr>
        <w:keepNext w:val="1"/>
        <w:spacing w:after="10"/>
      </w:pPr>
      <w:r>
        <w:rPr>
          <w:b/>
          <w:bCs/>
        </w:rPr>
        <w:t xml:space="preserve">Efekt MBMII_L_W1: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MBMII_L_W2: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MBMII_L_W3: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MBM-III-W_U1: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IM_U01, IM_U15</w:t>
      </w:r>
    </w:p>
    <w:p>
      <w:pPr>
        <w:spacing w:before="20" w:after="190"/>
      </w:pPr>
      <w:r>
        <w:rPr>
          <w:b/>
          <w:bCs/>
        </w:rPr>
        <w:t xml:space="preserve">Powiązane efekty obszarowe: </w:t>
      </w:r>
      <w:r>
        <w:rPr/>
        <w:t xml:space="preserve">T1A_U01, T1A_U15</w:t>
      </w:r>
    </w:p>
    <w:p>
      <w:pPr>
        <w:keepNext w:val="1"/>
        <w:spacing w:after="10"/>
      </w:pPr>
      <w:r>
        <w:rPr>
          <w:b/>
          <w:bCs/>
        </w:rPr>
        <w:t xml:space="preserve">Efekt MBMII_L_U1: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MBM-III-W-_K1: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MBMII_L_K1: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2026-10-01T04:17:27+02:00</dcterms:created>
  <dcterms:modified xsi:type="dcterms:W3CDTF">2026-10-01T04:17:27+02:00</dcterms:modified>
</cp:coreProperties>
</file>

<file path=docProps/custom.xml><?xml version="1.0" encoding="utf-8"?>
<Properties xmlns="http://schemas.openxmlformats.org/officeDocument/2006/custom-properties" xmlns:vt="http://schemas.openxmlformats.org/officeDocument/2006/docPropsVTypes"/>
</file>