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godz.&lt;br /&gt;&lt;br/&gt;
2.	Praca własna studenta: 40 godzin, w tym:&lt;br /&gt;
a)	realizacja pracy domowej, polegającej na opracowaniu analizy kinematycznej manipulatora równoległego– 15 godzin, &lt;br /&gt;
b)	przygotowywanie się do testu zaliczeniowego – 10 godzin.&lt;br /&gt;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– 35 godzin kontaktowych, w tym:&lt;br /&gt;
a)	wykład – 15 godz.&lt;br /&gt;
b)	ćwiczenia – 15 godz.&lt;br /&gt;
c)	konsultacje – 5 godz.&lt;br /&gt;&lt;br/&gt;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punktu ECTS – 40 godzin, w tym:&lt;br /&gt;
a)	realizacja pracy domowej, polegającej na opracowaniu analizy kinematycznej manipulatora równoległego– 25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Knapczyk J., Lebiediew P.: Teoria mechanizmów przestrzennych i manipulatorów, WNT, Warszawa 1990, - Morecki A., Knapczyk J.: Podstawy robotyki, teoria i elementy manipulatorów i robotów, WNT, Warszawa 1999, - Strony internetowe nt. tzw. robotów równoległych http://www-sop.inria.fr/members/Jean-Pierre.Merlet/merlet_eng.html - Materiały dostarczone przez wykładowcę – konspekt autorski w pdf nt. najnowszych rozwiązań manipulatorów równoległych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NS661_W1: </w:t>
      </w:r>
    </w:p>
    <w:p>
      <w:pPr/>
      <w:r>
        <w:rPr/>
        <w:t xml:space="preserve">							Zna podstawowe schematy kinematyczne manipulatorów równoległych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NS661_W2: </w:t>
      </w:r>
    </w:p>
    <w:p>
      <w:pPr/>
      <w:r>
        <w:rPr/>
        <w:t xml:space="preserve">							zna metody opisu kinematyki, dotyczące zadania odwrotnego i prostego kinematyki manipulatorów równoległych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NS661_U2: </w:t>
      </w:r>
    </w:p>
    <w:p>
      <w:pPr/>
      <w:r>
        <w:rPr/>
        <w:t xml:space="preserve">							Potrafi wykonać analizę błędów modelu kinematyki manipulatora równoległego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NS661_U3: </w:t>
      </w:r>
    </w:p>
    <w:p>
      <w:pPr/>
      <w:r>
        <w:rPr/>
        <w:t xml:space="preserve">							Potrafi przeprowadzić analizę osobliwości modelu kinematyki manipulatora równoległego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NS661_K1: </w:t>
      </w:r>
    </w:p>
    <w:p>
      <w:pPr/>
      <w:r>
        <w:rPr/>
        <w:t xml:space="preserve">							Potrafi wskazać przykład zastosowaniamanipulatora równoległego np. w konstrukcji symulatora lotu lub w superszybkich robotach do obsługi operacji technologicznych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ew. połączona z prezentacją na seminarium przedmiotowym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2026-09-30T15:14:39+02:00</dcterms:created>
  <dcterms:modified xsi:type="dcterms:W3CDTF">2026-09-30T15:14:39+02:00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