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65, w tym:
a) 60 godz. - projekty
b) 5 godz. - konsultacje
2. Praca własna studenta – 60 godzin, w tym:
a) 60 godz. – praca nad przygotowaniem dwóch projektów podzespołów robota. 
Razem - 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: 65, w tym:
a) 60 godz. - projekty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I, Podstawy Konstrukcji Maszyn II, Zapis Konstrukcji CAD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 Kurmaz, Projektowanie węzłów i części maszyn, Wydawnictwo Politechniki Świętokrzyskiej; 3. Poradnik Mechanika; 4. J.Honczarenko, Roboty przemysłowe, WNT;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NK369_W1: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NK369_W3: </w:t>
      </w:r>
    </w:p>
    <w:p>
      <w:pPr/>
      <w:r>
        <w:rPr/>
        <w:t xml:space="preserve">Ma podstawową wiedzę na temat cyklu życia mechanizmów i podzespołów robotów oraz urządzeń automatycznych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NK369_U1: </w:t>
      </w:r>
    </w:p>
    <w:p>
      <w:pPr/>
      <w:r>
        <w:rPr/>
        <w:t xml:space="preserve">Potrafi zaprojektować podzespoły robota realizujące ściśle określoną funkcję i spełniające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NK369_U2: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NK369_U3: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NK369_U4: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NK369_U7: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2026-07-29T05:43:53+02:00</dcterms:created>
  <dcterms:modified xsi:type="dcterms:W3CDTF">2026-07-29T05:43:53+02:00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