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– 15 godz.
c)	konsultacje – 5 godz.
2.	Praca własna studenta – 25 godzin, w tym:
a)	 15 godz. – rozwiązywanie zadań domowych,
b)	5 godz 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: 35, w tym:
a)	wykład – 15 godz.,
b)	ćwiczenia – 15 godz.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Bijak-Żochowski M., Jaworski A., Krzesiński G., Zagrajek T.: Mechanika Materiałów i Konstrukcji, Oficyna Wydawnicza Politechniki Warszawskiej, Warszawa, 2006. 2. Brzoska Z.: Wytrzymałość Materiałów, PWN, Warszawa, 1979. Dodatkowe literatura: – Zadania przekazane przez wykładowcę do samodzielnego rozwiązania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NK427_W1: </w:t>
      </w:r>
    </w:p>
    <w:p>
      <w:pPr/>
      <w:r>
        <w:rPr/>
        <w:t xml:space="preserve">Zna i rozumie pojęcia konstrukcji  prętowych  statycznie 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: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-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2026-10-21T02:14:35+02:00</dcterms:created>
  <dcterms:modified xsi:type="dcterms:W3CDTF">2026-10-21T02:14:35+02:00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