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Witold M. Mirski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ćwiczenia – 30 godz,
b)	konsultacje – 5 godz.
2.	Praca własna studenta – 25 godzin, w tym:
a)	 10 godz. - przygotowywanie się studenta do ćwiczeń,
b)	15 godz - zadania domowe,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-	liczba godzin kontaktowych : 35, w tym:
a)	ćwiczenia – 30 godz,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zajęć i domowych. Szczegóły zaliczenia na stronie internetowej: http://www.meil.pw.edu.pl/zpk/ZPK/Dydaktyka/Regulaminy-zajec-dydaktycznych Praca własna: tworzenie rysunków aksonometrycznych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Tadeusz Dobrzański – Rysunek Techniczny Maszynowy 2. Polskie Normy (w zakresie rysunku technicznego) Dodatkowa literatura: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NW118_W01: </w:t>
      </w:r>
    </w:p>
    <w:p>
      <w:pPr/>
      <w:r>
        <w:rPr/>
        <w:t xml:space="preserve">Zna zasady wykonywania rysunku warsztatowego pojedynczej 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NW118_W2: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NW118_W3: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NW118_W4: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NW118_W5: </w:t>
      </w:r>
    </w:p>
    <w:p>
      <w:pPr/>
      <w:r>
        <w:rPr/>
        <w:t xml:space="preserve">Ma podstawowa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NW118_U1: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NW118_U2: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NW118_U3: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NW118_U4: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NW118_U5: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NW118_U6: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2025-04-11T17:32:09+02:00</dcterms:created>
  <dcterms:modified xsi:type="dcterms:W3CDTF">2025-04-11T17:32:09+02:00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