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 (obieralny)</w:t>
      </w:r>
    </w:p>
    <w:p>
      <w:pPr>
        <w:keepNext w:val="1"/>
        <w:spacing w:after="10"/>
      </w:pPr>
      <w:r>
        <w:rPr>
          <w:b/>
          <w:bCs/>
        </w:rPr>
        <w:t xml:space="preserve">Koordynator przedmiotu: </w:t>
      </w:r>
    </w:p>
    <w:p>
      <w:pPr>
        <w:spacing w:before="20" w:after="190"/>
      </w:pPr>
      <w:r>
        <w:rPr/>
        <w:t xml:space="preserve">Zależnie od wybranego przedmiotu</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TR.NIS619</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Około 60 godzin, w tym: praca na zajęciach 18 godz., studiowanie literatury przedmiotu około 21 godz., konsultacje 3 godz., udział w egzaminach 2 godz., przygotowanie się do egzaminu około 16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zajęciach 18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2025-07-05T07:18:26+02:00</dcterms:created>
  <dcterms:modified xsi:type="dcterms:W3CDTF">2025-07-05T07:18:26+02:00</dcterms:modified>
</cp:coreProperties>
</file>

<file path=docProps/custom.xml><?xml version="1.0" encoding="utf-8"?>
<Properties xmlns="http://schemas.openxmlformats.org/officeDocument/2006/custom-properties" xmlns:vt="http://schemas.openxmlformats.org/officeDocument/2006/docPropsVTypes"/>
</file>