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TR.SIP524</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30 godz., zapoznanie się ze wskazana literaturą 8 godz., przygotowanie do egzaminu 6 godz., udział w egzaminie 2 godz., konsultacje z wykładowcą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(36 godz., w tym: godziny wykładu 30 godz., udział w egzaminie 2 godz., konsultacje z wykładowcą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 InzA_U05</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Tr1A_U14, Tr1A_U24</w:t>
      </w:r>
    </w:p>
    <w:p>
      <w:pPr>
        <w:spacing w:before="20" w:after="190"/>
      </w:pPr>
      <w:r>
        <w:rPr>
          <w:b/>
          <w:bCs/>
        </w:rPr>
        <w:t xml:space="preserve">Powiązane efekty obszarowe: </w:t>
      </w:r>
      <w:r>
        <w:rPr/>
        <w:t xml:space="preserve">T1A_U10, InzA_U03,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2026-10-01T11:40:53+02:00</dcterms:created>
  <dcterms:modified xsi:type="dcterms:W3CDTF">2026-10-01T11:40:53+02:00</dcterms:modified>
</cp:coreProperties>
</file>

<file path=docProps/custom.xml><?xml version="1.0" encoding="utf-8"?>
<Properties xmlns="http://schemas.openxmlformats.org/officeDocument/2006/custom-properties" xmlns:vt="http://schemas.openxmlformats.org/officeDocument/2006/docPropsVTypes"/>
</file>