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Środki transportu III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Jerzy Manerowski, prof. zw.; prof. dr hab.Krzysztof Zboiński, prof. nzw., Wydział Transportu Politechniki Warszawskiej Zakład Infrastruktury Transportu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TR.SIS503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ćwiczeń projektowych 			15 godz.
Zapoznanie się z literaturą dot. projektu 5 godz.
Przygotowanie do zaliczenia 			2 godz.
Wykonanie obliczeń projektowych i wykonanie dokumentacji 20 godz.
Konsultacje 3 godz.
Razem 45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Godziny ćwiczeń projektowych 15 godz. 
Konsultacje 3 godz. Razem 18 godz. ↔ 1 pkt. ECTS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Godziny ćwiczeń projektowych 			15 godz.
Zapoznanie się z literaturą dot. projektu 5 godz.
Przygotowanie do zaliczenia 			2 godz.
Wykonanie obliczeń projektowych i wykonanie dokumentacji 20 godz.
  Razem 42 godz. ↔ 2 pkt. ECTS 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Wykład ze Środków Transportu I i II.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Wykształcenie umiejętności stosowania metod oceny i przeciwdziałania zagrożeniom bezpieczeństwa konstrukcji i eksploatacji typowych środków transportu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 projektowych:
Rozwiązanie 3 przykładów rachunkowych (ćwiczeń) obejmujących badanie: stateczności dźwignic, opcjonalnie wyznaczania maksymalnych prędkości samochodu lub pojazdu szynowego w łuku, oraz zapewnienia stateczności latającego środka transportu podczas lotu z ładunkiem.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ćwiczeń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Piątkiewicz A. Sobolski R. – Dźwignice i Przenośniki, tom I i II, 
2. Zaskurski J. – Wózki jezdniowe napędzane, 
3. Pawlicki K. – Elementy dźwignic, cz. 1 i 2,
4. Arczyński S. – Mechanika ruchu samochodu,
5. Reimpell H., Betzler H. – Podwozia samochodów,
6. Sysak J. – Drogi kolejowe, 7. Esveld C. – Modern railway track,
8. Romaniszyn Z., Wolfram T. – Nowoczesny tabor szynowy. 9. Goraj Z. – Dynamika i aerodynamika samolotów manewrowych z elementami obliczeń 
10. Witkowski R. – Wprowadzenie do wiedzy o śmigłowcach.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umożliwiajacą rozpoznanie podstawowych zagrożeń bezpieczeństwa konstrukcji i eksploatacji środków transportu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3 ćwiczeń rachunkowych w formie dyskusji i pytań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Tr1A_W09, Tr1A_W10, 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InzA_W05, T1A_W04, T1A_W07, T1A_W08, InzA_W02, InzA_W03, InzA_W05,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wiedzę praktyczną w zakresie analitycznego sprawdzenia statecznosci dźwignic i zaproponowania przeciwśrodków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3 ćwiczeń rachunkowych w formie dyskusji i pytań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Tr1A_W09, Tr1A_W10, 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InzA_W05, T1A_W04, T1A_W07, T1A_W08, InzA_W02, InzA_W03, InzA_W05,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posiada wiedzę praktyczną w zakresie analitycznego wyznaczania prędkości maksymalnej pojazdu szynowego w łuku i właściwej interpretacji wyniku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3 ćwiczeń rachunkowych w formie dyskusji i pytań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Tr1A_W09, Tr1A_W10, 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InzA_W05, T1A_W04, T1A_W07, T1A_W08, InzA_W02, InzA_W03, InzA_W05,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posiada wiedzę praktyczną w zakresie analitycznego wyznaczania prędkości maksymalnej samochodu w łuku i właściwej interpretacji wyniku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3 ćwiczeń rachunkowych w formie dyskusji i pytań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Tr1A_W09, Tr1A_W10, 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InzA_W05, T1A_W04, T1A_W07, T1A_W08, InzA_W02, InzA_W03, InzA_W05,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posiada wiedzę praktyczną umożliwiającą zapewnienie metodami analitycznymi stateczności statku powietrznego podczas lotu z ładunkiem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3 ćwiczeń rachunkowych w formie dyskusji i pytań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Tr1A_W09, Tr1A_W10, 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InzA_W05, T1A_W04, T1A_W07, T1A_W08, InzA_W02, InzA_W03, InzA_W05, T1A_W07, T1A_W08, InzA_W02,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posiada umiejetności biegłego posługiwania się  analitycznymi narzędziami rozpoznania i przeciwdziałania typowym zagrożeniom bezpieczeństwa konstrukcji i eksploatacji środków transportu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3 ćwiczeń rachunkowych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Tr1A_U09, Tr1A_U10, Tr1A_U12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T1A_U11, InzA_U01, T1A_U07, T1A_U09, InzA_U02, T1A_U09, T1A_U10, InzA_U02, InzA_U03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uczenia się przez całe życie, przede wszystkim w celu podnoszenia swoich kompetencji zawodowych i osobistych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3 ćwiczeń rachunkowych w formie dyskusji i pytań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potrafi współpracować i pracować w grupie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p>
      <w:pPr>
        <w:keepNext w:val="1"/>
        <w:spacing w:after="10"/>
      </w:pPr>
      <w:r>
        <w:rPr>
          <w:b/>
          <w:bCs/>
        </w:rPr>
        <w:t xml:space="preserve">Efekt K03: </w:t>
      </w:r>
    </w:p>
    <w:p>
      <w:pPr/>
      <w:r>
        <w:rPr/>
        <w:t xml:space="preserve">potrafi określić priorytet oraz identyfikować i rozstrzygać dylematy związane z realizacją określonego przez siebie lub innych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2025-06-22T12:04:24+02:00</dcterms:created>
  <dcterms:modified xsi:type="dcterms:W3CDTF">2025-06-22T12:04:24+02:00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