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laboratoryjnych 9, zapoznanie się ze wskazana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InzA_W02, T2A_W05, InzA_W05, T2A_W04, InzA_W05</w:t>
      </w:r>
    </w:p>
    <w:p>
      <w:pPr>
        <w:keepNext w:val="1"/>
        <w:spacing w:after="10"/>
      </w:pPr>
      <w:r>
        <w:rPr>
          <w:b/>
          <w:bCs/>
        </w:rPr>
        <w:t xml:space="preserve">Efekt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keepNext w:val="1"/>
        <w:spacing w:after="10"/>
      </w:pPr>
      <w:r>
        <w:rPr>
          <w:b/>
          <w:bCs/>
        </w:rPr>
        <w:t xml:space="preserve">Efekt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InzA_U02,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2025-07-07T04:11:15+02:00</dcterms:created>
  <dcterms:modified xsi:type="dcterms:W3CDTF">2025-07-07T04:11:15+02:00</dcterms:modified>
</cp:coreProperties>
</file>

<file path=docProps/custom.xml><?xml version="1.0" encoding="utf-8"?>
<Properties xmlns="http://schemas.openxmlformats.org/officeDocument/2006/custom-properties" xmlns:vt="http://schemas.openxmlformats.org/officeDocument/2006/docPropsVTypes"/>
</file>