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Materials Desing</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udział w ćwiczeniach - 30 godz., samodzielna praca studenta (przygotowanie się do ćwiczeń, w tym zapoznanie się ze wskazaną literaturą – 30 godzin, przygotowanie się do kolokwium 15 godzin) - 45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ćwiczeń.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punktu ECTS - udział w ćwiczeniach - 30 godz., przygotowanie się do ćwiczeń, w tym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PMC_W1: </w:t>
      </w:r>
    </w:p>
    <w:p>
      <w:pPr/>
      <w:r>
        <w:rPr/>
        <w:t xml:space="preserve">ma wiedzę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PMC_U1: </w:t>
      </w:r>
    </w:p>
    <w:p>
      <w:pPr/>
      <w:r>
        <w:rPr/>
        <w:t xml:space="preserve">ma umiejętności w zakresie rozwiązywania problemów związanych z projektowaniem nowoczesnych materiałów, analizy procesów i optymalizacji procesów wytwarzania materiałów</w:t>
      </w:r>
    </w:p>
    <w:p>
      <w:pPr>
        <w:spacing w:before="60"/>
      </w:pPr>
      <w:r>
        <w:rPr/>
        <w:t xml:space="preserve">Weryfikacja: </w:t>
      </w:r>
    </w:p>
    <w:p>
      <w:pPr>
        <w:spacing w:before="20" w:after="190"/>
      </w:pPr>
      <w:r>
        <w:rPr/>
        <w:t xml:space="preserve">Ocena sposobu realizacji postawionych problemów za pomocą metod numerycznych - zaliczenie</w:t>
      </w:r>
    </w:p>
    <w:p>
      <w:pPr>
        <w:spacing w:before="20" w:after="190"/>
      </w:pPr>
      <w:r>
        <w:rPr>
          <w:b/>
          <w:bCs/>
        </w:rPr>
        <w:t xml:space="preserve">Powiązane efekty kierunkowe: </w:t>
      </w:r>
      <w:r>
        <w:rPr/>
        <w:t xml:space="preserve">IM2_U11</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2026-08-19T10:43:32+02:00</dcterms:created>
  <dcterms:modified xsi:type="dcterms:W3CDTF">2026-08-19T10:43:32+02:00</dcterms:modified>
</cp:coreProperties>
</file>

<file path=docProps/custom.xml><?xml version="1.0" encoding="utf-8"?>
<Properties xmlns="http://schemas.openxmlformats.org/officeDocument/2006/custom-properties" xmlns:vt="http://schemas.openxmlformats.org/officeDocument/2006/docPropsVTypes"/>
</file>