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Materiałów/ Structural Degradation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Zagórski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- 15 godz., udział w ćwiczeniach - 15 godz., praca własna studenta i przygotowanie się do prezentacji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pełzania,, zasady projektowania materiałów pracujących w warunkach degradacji.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zajęciach, 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DS_W1: </w:t>
      </w:r>
    </w:p>
    <w:p>
      <w:pPr/>
      <w:r>
        <w:rPr/>
        <w:t xml:space="preserve">Posiada podstawową wiedzę  o przyczynach zachodzenia degradacji strukturalnej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DS_U1: </w:t>
      </w:r>
    </w:p>
    <w:p>
      <w:pPr/>
      <w:r>
        <w:rPr/>
        <w:t xml:space="preserve">Na podstawie wiedzy nabytej w trakcie zajęć oraz przeprowadzonej analizy literatury fachowej student potrafi ocenić  wpływ promieniowania na degradację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2026-01-14T02:18:10+01:00</dcterms:created>
  <dcterms:modified xsi:type="dcterms:W3CDTF">2026-01-14T02:18:10+01:00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