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M.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MiWK3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14 godzin ćwiczeń, 26 godzin przygotowań do wykładów, 18 godzin przygotowań do ćwiczeń, 32 godziny przygotowania do egzaminu. Razem 138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wykładów, 14 godzin ćwiczeń = 42 godziny-1,7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18 godzin przygotowań do ćwiczeń = 32 godzin - 1,3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Redukcja dowolnego układu sił. Równowaga układów płaskich
i przestrzennych – wyznaczanie wielkości podporowych. Analiza statyczna belek,
słupów, ram i kratownic. Elementy teorii stanu naprężenia i odkształcenia. Układy liniowo-sprężyste. Naprężenia dopuszczalne. Hipotezy wytężeniowe. Analiza wytężania elementów maszyn. Elementy kinematyki i dynamiki punktu materialnego, układu punktów materialnych i bryły sztywnej. Podstawy teorii drgań układów mechanicznych. Elementy mechaniki pękania. Statyka płynów. Elementy kinematyki płynów. Równanie Bernoulliego. Przepływy laminarne i turbulentne. Przepływy przez kanały zamknięte i otwarte. Równanie Naviera-Stokesa. Podobieństwa zjawisk przepływowych. Przepływy
potencjalne i dynamika gazów. Techniki komputerowe w mechanice. Kryteria doboru materiałów na podstawie modeli mechaniki technicznej, wytrzymałości materiałów i
mechaniki pękania.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zadań wykonywanych przez studentów podczas ćwiczeń,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MiWK3_W1: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MiWK3_W2: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MiWK3_W3: </w:t>
      </w:r>
    </w:p>
    <w:p>
      <w:pPr/>
      <w:r>
        <w:rPr/>
        <w:t xml:space="preserve">Ma podstawową wiedzę dotyczącą założeń przyjmowanych dla modeli prętowych i powłokowych, stosowanych w analizie wytrzymałościowej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MiWK3_W4: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MiWK3_W5: </w:t>
      </w:r>
    </w:p>
    <w:p>
      <w:pPr/>
      <w:r>
        <w:rPr/>
        <w:t xml:space="preserve">Student zna techniki komputerowe stosowane w mechanice. Zna kryteria doboru materiałów na podstawie modeli mechaniki technicznej, wytrzymałości materiałów i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MiWK3_U1: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MiWK3_U3: </w:t>
      </w:r>
    </w:p>
    <w:p>
      <w:pPr/>
      <w:r>
        <w:rPr/>
        <w:t xml:space="preserve">Na podstawie wiedzy z wykładu lub przeprowadzonej analizy fachowej literatury (praca własna) student potrafi wyznaczyć przemieszczenia, odkształcenia i naprężenia w ustrojach prętowych oraz powłokach cienkościennych osiowosymetrycznych pozostających w stanie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MiWK3_U4: </w:t>
      </w:r>
    </w:p>
    <w:p>
      <w:pPr/>
      <w:r>
        <w:rPr/>
        <w:t xml:space="preserve">Na podstawie wiedzy z wykładu lub przeprowadzonej analizy fachowej literatury (praca własna) student 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MiWK3_U2: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MiWK3_U5: </w:t>
      </w:r>
    </w:p>
    <w:p>
      <w:pPr/>
      <w:r>
        <w:rPr/>
        <w:t xml:space="preserve">Potrafi dokonać oceny odporności na zniszczenie wybranych typów konstrukcji oraz tak zaprojektować konstrukcję, aby nie uległa zniszczeniu podczas ekspolatacji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MiWK3_K1: </w:t>
      </w:r>
    </w:p>
    <w:p>
      <w:pPr/>
      <w:r>
        <w:rPr/>
        <w:t xml:space="preserve">Rozumie potrzebę uczenia się przez całe życie, aktualizacji posiadanej wiedzy i umiejętności z zakresu mechaniki i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2026-10-21T04:12:27+02:00</dcterms:created>
  <dcterms:modified xsi:type="dcterms:W3CDTF">2026-10-21T04:12:27+02:00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