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Dyfrakcja promieni RTG w badaniu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DPRTGwBM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Obecność na wykładach 28 godzin, udział w konsultacjach 10 godzin, samodzielna praca własna nad przygotowaniem się do wykładu 30 godzin, samodzielna praca własna nad przygotowaniem się do kolokwium zaliczającego przedmiot - 25 godzin. Łącznie - 93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Prowadzenie wykładów 28 godzin, konsultacji 10 godzin. Łącznie 38 godzin- 1,5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 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technikami rentgenowskimi używanymi w badaniach materiałów polikrystalicznych, w tym podstawy powstawania promieniowania RTG, podstawy krystalografii i zagadnienia tekstury, naprężeń własnych, pomiaru wielkości krystalitów i parametrów sieci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promieniowanie rentgenowskiego, pomiar tekstury, pomiar naprężeń szczątkowych, pomiar wielkości krystalitów, analiza fazowa jakościowa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Bojarski i in. „Krystalografia”,
B.D. Cullity "Elements of X-ray diffraction"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DPRTG_w1: </w:t>
      </w:r>
    </w:p>
    <w:p>
      <w:pPr/>
      <w:r>
        <w:rPr/>
        <w:t xml:space="preserve">Posiada wiedzę na temat metod badania ciał stałych opartych na dyfrakcji rentgenowskiej. Rentgenowskiej analizy fazowej materiałów jedno- i wielofazowych oraz ich analizy ilościowej. Możliwości, jakie dają metody badania ciał stałych oparte na zjawisku dyfrakcji promieni rentgenowskich. Podstawowych metod analizy danych dyfrakcyjnych. Wyznaczania z danych dyfrakcyjnych podstawowych parametrów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DPRTG_u1: </w:t>
      </w:r>
    </w:p>
    <w:p>
      <w:pPr/>
      <w:r>
        <w:rPr/>
        <w:t xml:space="preserve">Na podstawie wiedzy uzyskanej na wykładzie, lub w wyniku przeprowadzonej analizy literatury student potrafi dokonać wyboru odpowiedniej metody dyfrakcyjnej do stawianego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DPRTG_ks1: </w:t>
      </w:r>
    </w:p>
    <w:p>
      <w:pPr/>
      <w:r>
        <w:rPr/>
        <w:t xml:space="preserve">Rozumie proces aktualizacji swojej wiedzy wobec pojawiających się wyzwań, konieczności rozwiązywania nowych zaistniałych problemów. Umie razem z innymi uczestnikami współpracować nad rozwiązaniem postawionego problemu. Konstruktywnie prowadzi merytoryczną dyskusję  z innymi uczestnikami zajęć mającą na celu znalezienie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2026-05-02T04:28:12+02:00</dcterms:created>
  <dcterms:modified xsi:type="dcterms:W3CDTF">2026-05-02T04:28:12+02:00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