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Grup Kapitałowych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38.3/1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 16 h - wykład; 20 h - przygotowanie do zajęć w tym zapoznanie z literaturą, 25 h - przygotowanie do zaliczenia, 8 h - konsultacje, 6 h - zaliczenia w dodatkowych terminach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0,64 ECTS - wykłady 
 0,32 ECTS - konsultacje; 0,24 ECTS - zaliczenia w dodatkowych terminach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Rachunkowość, Analiza ekonomiczna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funkcjonowaniem grup kapitałowych, w szczególności z problemami finansowania, opodatkowania oraz sporządzania  i analizowania skonsolidowanych sprawozdań finansowych.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Procesy konsolidacji w gospodarce.
Organizacja i funkcjonowanie grup kapitałowych.
Sprawozdawczość finansowa grup kapitałowych.
Konsolidacja sprawozdań finansowych. 
Finansowanie działalności grup kapitałowych.
Ocena sytuacji finansowej grup kapitałowych.
Opodatkowanie grup kapitałowych.
Cash management w grupach kapitałowych.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 w formie rozwiązania zadań, pytań opisowych i  testu wyboru. Do zaliczenia każdego kolokwium koniecznym jest uzyskanie 60% punktów na ocenę dst, 80% na ocenę db, 95% na ocenę bdb.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Grupy kapitałowe w Polsce, strategie i struktury, red. Maria Romanowska, PWE, Warszawa 2011;                                              2. Jan Śliwa, Zarządzanie finansami w grupach kapitałowych, Wydawnictwo Naukowe Wydziału  Zarządzania Uniwersytetu Warszawskiego, Warszawa 2011;                                                    3. Jan Rak, Jan Turyna, Rachunkowość i finanse grupy kapitałowej, Difin, Warszawa 2004;                                                  4. Michał Trocki, Grupy kapitałowe – tworzenie i funkcjonowanie, PWN, Warszawa 2004;                                                 5. Wojciech Szumielewicz, Cash management w grupach kapitałowych, Difin, Warszawa 2009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Zna typowe dla grup narzędzia wspierania zarządzania gotówką, ze szczególnym naciskiem na narzedzia wspierające zarządzanie płynnością oraz formy współdziałania spółek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W16: </w:t>
      </w:r>
    </w:p>
    <w:p>
      <w:pPr/>
      <w:r>
        <w:rPr/>
        <w:t xml:space="preserve">Ma wiedzę dotyczącą pozyskania wybranych źródeł finansowania działalnosci bieżącej i rozwojowej grup kapitałowych;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Umie, na podstawie skonsolidowanego sprawozdania finansowego, ocenIać sytuację majątkową i finansową grup kapitałowych, z uwzględnieniem wyników osiąganych przez grupę, jednostkę dominującą i jednostki podporządkowane.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U23: </w:t>
      </w:r>
    </w:p>
    <w:p>
      <w:pPr/>
      <w:r>
        <w:rPr/>
        <w:t xml:space="preserve">Potrafi, wykorzystując posiadaną wiedzę sporządzać skonsolidowane sprawozdanie finansowe.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Ma świadomość wieloszczeblowości zarządzania finansami w grupach kapitałwych, jest zdolny do samodzielnego zidentyfikowania problemów ich finansowania.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2026-10-21T15:56:54+02:00</dcterms:created>
  <dcterms:modified xsi:type="dcterms:W3CDTF">2026-10-21T15:56:54+02:00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