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Marlena Piekut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ZGP 38.2/1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16 h - wykłady, 6 h - konsultacje, 14 h - inne w tym: zaliczenia w dodatkowych terminach, wskazanie na szczegółową literaturę związaną z opracowaniem prezentacji ,sprawdzenie opracowań prezentacji przed ich wygłoszeniem i związane z tym dodatkowe konsultacje, 11 h - przygotowanie do zajęć, 20 h - przygotowanie do zaliczenia, 8 h - przygotowanie pracy.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ECTS - wykłady,
0,8 ECTS w tym: konsultacje w związku z przygotowaniem do zaliczenia (0,24 ECTS), zaliczenia w dodatkowych terminach (0,16 ECTS), wskazanie na szczegółową literaturę związaną z opracowaniem prezentacji (0,12 ECTS), sprawdzenie opracowań prezentacji przed ich wygłoszeniem i związane z tym dodatkowe konsultacje (0,28 ECTS).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przedsiębiorstwie, Statystyka i badania rynku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funkcjonowania podmiotów gospodarczych oraz z możliwościami tworzenia i rozwoju przedsiębiorstw na terenie Unii Europejskiej.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W1. Teoria integracji ekonomicznej. Unia gospodarcza i walutowa. Swobody i ograniczenia dla przedsiębiorstw. W2. Przedsiębiorstwo w UE a wspólna polityka handlowa. W3. Przedsiębiorstwo w UE a polityka konkurencji i polityka ochrony konsumenta. W4. Integracja przedsiębiorstw UE. Strategie wejścia przedsiębiorstwa na rynki zagraniczne.  W5. Ogólne warunki zakładania i prowadzenia działalności gospodarczej. Zasady ubiegania się o dotacje unijne na rozwój przedsiębiorstw MŚP. W6. Euromarketing. Koszty społeczne prowadzenia działalności gospodarczej.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przygotowanie prezentacji oraz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Burnat-Mikosz M. 2005: Pomoc Unii Europejskiej dla przedsiębiorców. Wydawnictwo C.H. Beck
2. Cieślak R., Kordasiewicz J. 2005: Dotacje z Unii Europejskiej dla firm. Praktyczny przewodnik. Wydawnictwo Biblioteczka Pracownicza
3. Wach K. 2005: Jak założyć firmę w Unii Europejskiej. Wyd. Oficyna Ekonomiczna 4. Dane ze stron internetowych Komisji Europejskiej Twoja Europa. 5. Publikacje na stronach internetowych Polskiej Agencji Rozwoju Przedsiębiorczości.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prawidłowości i uwarunkowania fukcjonowania przedsiębiorstw w krajach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zaliczenia opisowe (W1 -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</w:t>
      </w:r>
    </w:p>
    <w:p>
      <w:pPr>
        <w:keepNext w:val="1"/>
        <w:spacing w:after="10"/>
      </w:pPr>
      <w:r>
        <w:rPr>
          <w:b/>
          <w:bCs/>
        </w:rPr>
        <w:t xml:space="preserve">Efekt W15: </w:t>
      </w:r>
    </w:p>
    <w:p>
      <w:pPr/>
      <w:r>
        <w:rPr/>
        <w:t xml:space="preserve">Zna mechanizmy finansowania różnych sfer działalności podmiotów gospodarczych funkcjonujących na rynku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 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Potrafi, w przypadku prowadzenia działalności na własny rachunek, skorzystać z pomocy instytucji otoczenia biznesu funkcjonujących w krajach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 (W2-W3,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U23: </w:t>
      </w:r>
    </w:p>
    <w:p>
      <w:pPr/>
      <w:r>
        <w:rPr/>
        <w:t xml:space="preserve">Posiadając wiedzę o działalności przedsiebiorstw na rynku UE, przy znajomości instrumentów finansowania publicznego potrafi kształtować relacje z bankiem. Potrafi wykorzystać wiedzę o preferowanym przez banki profilu kredytobiorcy.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 (W2-W5)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K11: </w:t>
      </w:r>
    </w:p>
    <w:p>
      <w:pPr/>
      <w:r>
        <w:rPr/>
        <w:t xml:space="preserve">Potrafi samodzielnie analizować trendy dotyczące działalności przedsiębiorstw w Unii Europejskiej na podstawie statystyk polskich i międzynarodowych. Jest rzetelny w prowadzeniu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multimedialnej (W2-W6)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2026-09-30T20:03:47+02:00</dcterms:created>
  <dcterms:modified xsi:type="dcterms:W3CDTF">2026-09-30T20:03:47+02:00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