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10 - konsultacje; 35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II.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Podstawowe techniki tworzenia grafiki rastrowej i wektorowej. Przygotowanie grafiki do publikacji w Internecie. Pliki dźwiękowe – formaty, kompresja, edycja. Przegląd edytorów dźwięku. Pliki video – formaty, kompresja, edycja. Zasady przygotowania prezentacji multimedialnych. Podstawy typografii. Zasady stosowania kolorów w prezentacjach multimedialnych. Narzędzia do tworzenia prezentacji multimedialnych. Prezentacje interaktywne. Przygotowanie materiałów multimedialnych do prezentacji w Internecie.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      3. King J.A.: Grafika w sieci WWW. Proste rozwiązania, Warszawa, Mikom 2002
4. Świerk G., Madurski Ł.: Multimedia. Obróbka dźwięku i filmów, Helion 2004 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U35: </w:t>
      </w:r>
    </w:p>
    <w:p>
      <w:pPr/>
      <w:r>
        <w:rPr/>
        <w:t xml:space="preserve">Potrafi przetwarzać obrazy, dźwięki i pliki filmowe w celu ich wykorzystania w różnorodnych publikacjach i prezentacjach.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2026-04-10T02:13:25+02:00</dcterms:created>
  <dcterms:modified xsi:type="dcterms:W3CDTF">2026-04-10T02:13:25+02:00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