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Ma podstawową wiedzę dotyczącą uwarunkowań związanych z działalnością badawczą  w zakresie statystyki i analizy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w przystępny sposób przedstawić wyniki uzyskane w zakresie statystyki matematycznej i analizy danych w postaci samodzielnie przygotowanego referatu zawierającego motywację, metody dochodzenia do wyników oraz ich znaczenie na tle innych podobnych rezultatów.Potrafi w przystępny sposób przedstawić wyniki uzyskane w zakresie statystyki matematycznej i analizy danych w postaci samodzielnie przygotowanego referatu zawierającego motywację, metody dochodzenia do wyników oraz ich znaczenie na tle innych podobnych rezultatów.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WBA_U03: </w:t>
      </w:r>
    </w:p>
    <w:p>
      <w:pPr/>
      <w:r>
        <w:rPr/>
        <w:t xml:space="preserve">Potrafi samodzielnie i ze zrozumieniem studiować teksty matematyczne związane tematycznie z zagadnieniami omawianymi na zajęciach, umie przedstawić w mowie i na piśmie poznaną w ten sposób tematykę oraz wskazać otwarte pytania dotyczące omawianej 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2026-08-19T10:17:15+02:00</dcterms:created>
  <dcterms:modified xsi:type="dcterms:W3CDTF">2026-08-19T10:17:15+02:00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