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Kontrakty forward i futures – mechanizmy i przykłady zastosowań.
Opcje standardowe i egzotyczne, przykłady strategii opcyjnych.
Praktyczne  i teoretyczne aspekty miar ryzyka: Value-at-Risk (V@R), Expected Shortfall (Conditional V@R).
Koherentne miary ryzyka.
Miary ryzyka niezmiennicze względem rozkładu (Law invariant).
Ważony V@R i jego własności.
Dynamiczne koherentne miary ryzyka.
Porządki stochastyczne i miary ryzyka.
Ryzyko kredytowe: modele statyczne, modele scoringowe, Credit Metrics.
Model Mertona obligacji z ryzykiem kredytowym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MSR1_W_01: </w:t>
      </w:r>
    </w:p>
    <w:p>
      <w:pPr/>
      <w:r>
        <w:rPr/>
        <w:t xml:space="preserve">Rozumie zasady działania kontraktów forward, futures  i opcji. Rozumie ich rolę w zarządzaniu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MSR1_W_02: </w:t>
      </w:r>
    </w:p>
    <w:p>
      <w:pPr/>
      <w:r>
        <w:rPr/>
        <w:t xml:space="preserve">Zna podstawowe miary ryzyka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MSR1_W_03: </w:t>
      </w:r>
    </w:p>
    <w:p>
      <w:pPr/>
      <w:r>
        <w:rPr/>
        <w:t xml:space="preserve">Zna pojęcia koherentych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MSR1_U_02: </w:t>
      </w:r>
    </w:p>
    <w:p>
      <w:pPr/>
      <w:r>
        <w:rPr/>
        <w:t xml:space="preserve">Potrafi analizować skutki strategii opcyjnych.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MSR1_U_03: </w:t>
      </w:r>
    </w:p>
    <w:p>
      <w:pPr/>
      <w:r>
        <w:rPr/>
        <w:t xml:space="preserve">Potrafi analizować własności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MSR1_U_04: </w:t>
      </w:r>
    </w:p>
    <w:p>
      <w:pPr/>
      <w:r>
        <w:rPr/>
        <w:t xml:space="preserve">Potrafi opisać praktyczne aspekty stosowania miar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2026-09-10T18:59:31+02:00</dcterms:created>
  <dcterms:modified xsi:type="dcterms:W3CDTF">2026-09-10T18:59:31+02:00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