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Techniki laserowe w scenografii widowsk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Ryszard Jabłoński, prof. nzw.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wykład: 15
laboratorium: 15
przygotowanie do egzaminu, egzamin: 15
opracowanie sprawozdań z laboratoriów: 15
przygotowanie do laboratoriów: 5
Razem: 65 (3 ECTS)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wykład: 15
laboratorium: 15
egzamin: 2
Razem: 32 (1,5 ECTS)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laboratorium: 15
opracowanie sprawozdań z laboratoriów: 15
przygotowanie do laboratoriów: 5
Razem: 35 (1,5 ECTS)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TLS_W01: </w:t>
      </w:r>
    </w:p>
    <w:p>
      <w:pPr/>
      <w:r>
        <w:rPr/>
        <w:t xml:space="preserve">Zna metody formowania wiązki laserowej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keepNext w:val="1"/>
        <w:spacing w:after="10"/>
      </w:pPr>
      <w:r>
        <w:rPr>
          <w:b/>
          <w:bCs/>
        </w:rPr>
        <w:t xml:space="preserve">Efekt TLS_W02: </w:t>
      </w:r>
    </w:p>
    <w:p>
      <w:pPr/>
      <w:r>
        <w:rPr/>
        <w:t xml:space="preserve">Zna techniki skanowania i budowę skanerów laserowych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K_W08, K_W10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TLS_U01: </w:t>
      </w:r>
    </w:p>
    <w:p>
      <w:pPr/>
      <w:r>
        <w:rPr/>
        <w:t xml:space="preserve">Potrafi posługiwać się skanerem laserowymi  przy projektowaniu i realizacji pokazów laserowych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K_U10, K_U16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T2A_U08, T2A_U17, T2A_U19</w:t>
      </w:r>
    </w:p>
    <w:p>
      <w:pPr>
        <w:keepNext w:val="1"/>
        <w:spacing w:after="10"/>
      </w:pPr>
      <w:r>
        <w:rPr>
          <w:b/>
          <w:bCs/>
        </w:rPr>
        <w:t xml:space="preserve">Efekt TLS_U02: </w:t>
      </w:r>
    </w:p>
    <w:p>
      <w:pPr/>
      <w:r>
        <w:rPr/>
        <w:t xml:space="preserve">Umie zaprojektować światłowody i przeprowadzić pokaz z ich pomocą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K_U11, K_U18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T2A_U12, T2A_U18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TLS_K01: </w:t>
      </w:r>
    </w:p>
    <w:p>
      <w:pPr/>
      <w:r>
        <w:rPr/>
        <w:t xml:space="preserve">Potrafi zachować warunki bezpieczeństwa podczas pokazów laserowych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K_K02, 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T2A_K02, T2A_K03, T2A_K04, T2A_K05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2026-09-12T02:23:07+02:00</dcterms:created>
  <dcterms:modified xsi:type="dcterms:W3CDTF">2026-09-12T02:23:07+02:00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