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OWM5_W01: </w:t>
      </w:r>
    </w:p>
    <w:p>
      <w:pPr/>
      <w:r>
        <w:rPr/>
        <w:t xml:space="preserve">wiedza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OWM5_U01: </w:t>
      </w:r>
    </w:p>
    <w:p>
      <w:pPr/>
      <w:r>
        <w:rPr/>
        <w:t xml:space="preserve">Umie zdobywać wiedzę szczegłową z zakresu automatyki i robotyki oraz mechatroniki przekazywaną w trakcie wykładu obcojęzycznego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keepNext w:val="1"/>
        <w:spacing w:after="10"/>
      </w:pPr>
      <w:r>
        <w:rPr>
          <w:b/>
          <w:bCs/>
        </w:rPr>
        <w:t xml:space="preserve">Efekt OWM5_U02: </w:t>
      </w:r>
    </w:p>
    <w:p>
      <w:pPr/>
      <w:r>
        <w:rPr/>
        <w:t xml:space="preserve">Potrafi przygotować krótką prezentację obcojęzyczną z obszaru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2026-10-03T05:27:06+02:00</dcterms:created>
  <dcterms:modified xsi:type="dcterms:W3CDTF">2026-10-03T05:27:06+02:00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