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1125h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PP_W01: </w:t>
      </w:r>
    </w:p>
    <w:p>
      <w:pPr/>
      <w:r>
        <w:rPr/>
        <w:t xml:space="preserve">Ma pogłębioną wiedzę dotyczącą zagadnienia szczegółowego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PP_U01: </w:t>
      </w:r>
    </w:p>
    <w:p>
      <w:pPr/>
      <w:r>
        <w:rPr/>
        <w:t xml:space="preserve">Umie zrealizować obszerne zadanie badawcze lub projektowe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K_U14,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T2A_U07, T2A_U19, T2A_U12,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PP_K01: </w:t>
      </w:r>
    </w:p>
    <w:p>
      <w:pPr/>
      <w:r>
        <w:rPr/>
        <w:t xml:space="preserve">potrafi uwzględnić aspekty pozatechniczne prowadzonej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p>
      <w:pPr>
        <w:keepNext w:val="1"/>
        <w:spacing w:after="10"/>
      </w:pPr>
      <w:r>
        <w:rPr>
          <w:b/>
          <w:bCs/>
        </w:rPr>
        <w:t xml:space="preserve">Efekt PP_K02: </w:t>
      </w:r>
    </w:p>
    <w:p>
      <w:pPr/>
      <w:r>
        <w:rPr/>
        <w:t xml:space="preserve">Potrafi zaplanować harmonogram realizacji złożonego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2026-09-12T08:13:06+02:00</dcterms:created>
  <dcterms:modified xsi:type="dcterms:W3CDTF">2026-09-12T08:13:06+02:00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