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Ksawery Szykiedans, mgr inż. Błażej Kabziński, mgr inż. Roman 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sprawdzianów z wykładu: 10h
udział w laboratoriach 30 h
przygotowanie do ćwiczeń laboratoryjnych 15h
Opracowanie raportów z ćwiczeń laboratoryjnych 15h
razem: 85h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uczestnictwo w wykładzie 15h
uczestnictwo w laboratorium 30h
konsultacje 2h
razem: 47h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laboratoriach 30 h
przygotowanie do ćwiczeń laboratoryjnych 15h
Opracowanie raportów z ćwiczeń laboratoryjnych 15h
razem: 60h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(każde z omawianych na wykładzie urządzeń będzie omówione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Skanery	 Profil barwny skanera. Wpływ budowy i typu przetwornika na jakość otrzymanego skanu. Pomiar szumów własnych skanera.
Drukarki laserowe	Budowa, działanie, eksploatacja drukarek laserowych, ocena jakości wydruku
Drukarki termiczne	Budowa, działanie, eksploatacja drukarek termicznych, ocena jakości wydruku
Drukarek atramentowych Budowa, działanie, eksploatacja drukarek laserowych, ocena jakości wydruku
Badanie monitorów 	Badanie porównawcze i kalibracja monitorów LCD i CRT
Badanie kąta widzenia matrycy LCD
Badanie jakości druków dla niewidomych
Badanie jakości odbitek typu proof
</w:t>
      </w:r>
    </w:p>
    <w:p>
      <w:pPr>
        <w:keepNext w:val="1"/>
        <w:spacing w:after="10"/>
      </w:pPr>
      <w:r>
        <w:rPr>
          <w:b/>
          <w:bCs/>
        </w:rPr>
        <w:t xml:space="preserve">Metody oceny: </w:t>
      </w:r>
    </w:p>
    <w:p>
      <w:pPr>
        <w:spacing w:before="20" w:after="190"/>
      </w:pPr>
      <w:r>
        <w:rPr/>
        <w:t xml:space="preserve">2 sprawdziany pisemne (wykład) 40 % udziału  w  ocenie końcowej
raporty z wykonania zadań laboratoryjnych 60 % udziału  w  ocenie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Buczyński L.  „Komputerowe Urządzenia peryferyjne”  Annopol, 2003
Buczyński L. ”Skanery i skanowanie” MIKOM, 2005
Bushan B.: “Tribology and Mechanics of Magnetic Storage Devices” Springer Verlag. New York, 1996
Inglis A.F., Luther A.C. “Video Engineering” McGraw-Hill New York, 1996
Jedliński J. “Focusing actuator in CD drive – evaluation of transfer function parameters” 5th Polish-German Mechatronic Workshop 2005 “Trends in Mechatronics” Proceedings. Ed.: A.Pochanke, M.Bodnicki, J.Wierciak. p.82-86.
Kipphan  H. „Handbook of print media“ Springer Verlag Heidelberg, 2002                                                   
Lindner P. Tuma T., Myska M.  „Wielka księga  fotografii cyfrowej” MIKOM,  2004
Mallinson J.C.: “Foundations of Magnetic Recording” Academic Press, Inc., 1987
Marchant A.B. “Optical recording.  Technical Overview” Addison-Wesley Publishing Company, 1990
Mee, D. “Magnetic Recording”. Vol.III
Urbański B. „Magnetofony i gramofony cyfrowe”. WKiŁ Warszawa, 1989
Urbański B.: “Magnetowid”. WNT. Wyd. II  Warszawa, 1995
Watkinson J. “Coding for Digital Recording” Focal Press. London&amp;Boston, 1990
Baza patentowa USA – www.uspto.gov,  informacje internetowe  ze stron producentów sprzętu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efekty kierunkowe: </w:t>
      </w:r>
      <w:r>
        <w:rPr/>
        <w:t xml:space="preserve">K_W12,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K_U01, K_U11, K_U16, K_U22, K_U26</w:t>
      </w:r>
    </w:p>
    <w:p>
      <w:pPr>
        <w:spacing w:before="20" w:after="190"/>
      </w:pPr>
      <w:r>
        <w:rPr>
          <w:b/>
          <w:bCs/>
        </w:rPr>
        <w:t xml:space="preserve">Powiązane efekty obszarowe: </w:t>
      </w:r>
      <w:r>
        <w:rPr/>
        <w:t xml:space="preserve">T1A_U01, T1A_U02, T1A_U08, T1A_U09, T1A_U07, T1A_U07, T1A_U15, T1A_U10</w:t>
      </w:r>
    </w:p>
    <w:p>
      <w:pPr>
        <w:pStyle w:val="Heading3"/>
      </w:pPr>
      <w:bookmarkStart w:id="4" w:name="_Toc4"/>
      <w:r>
        <w:t>Profil ogólnoakademicki - kompetencje społeczne</w:t>
      </w:r>
      <w:bookmarkEnd w:id="4"/>
    </w:p>
    <w:p>
      <w:pPr>
        <w:keepNext w:val="1"/>
        <w:spacing w:after="10"/>
      </w:pPr>
      <w:r>
        <w:rPr>
          <w:b/>
          <w:bCs/>
        </w:rPr>
        <w:t xml:space="preserve">Efekt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2026-08-19T17:20:39+02:00</dcterms:created>
  <dcterms:modified xsi:type="dcterms:W3CDTF">2026-08-19T17:20:39+02:00</dcterms:modified>
</cp:coreProperties>
</file>

<file path=docProps/custom.xml><?xml version="1.0" encoding="utf-8"?>
<Properties xmlns="http://schemas.openxmlformats.org/officeDocument/2006/custom-properties" xmlns:vt="http://schemas.openxmlformats.org/officeDocument/2006/docPropsVTypes"/>
</file>